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0"/>
        <w:ind w:hanging="0" w:left="0" w:right="-47"/>
        <w:jc w:val="left"/>
        <w:rPr>
          <w:rFonts w:ascii="Times New Roman" w:hAnsi="Times New Roman"/>
          <w:sz w:val="24"/>
          <w:szCs w:val="24"/>
        </w:rPr>
      </w:pPr>
      <w:r>
        <w:rPr>
          <w:rFonts w:ascii="Times New Roman" w:hAnsi="Times New Roman"/>
          <w:sz w:val="24"/>
          <w:szCs w:val="24"/>
        </w:rPr>
      </w:r>
    </w:p>
    <w:p>
      <w:pPr>
        <w:pStyle w:val="Normal"/>
        <w:rPr>
          <w:rFonts w:ascii="Times New Roman" w:hAnsi="Times New Roman"/>
          <w:b/>
          <w:bCs/>
          <w:sz w:val="26"/>
          <w:szCs w:val="26"/>
        </w:rPr>
      </w:pPr>
      <w:r>
        <w:rPr>
          <w:rFonts w:ascii="Times New Roman" w:hAnsi="Times New Roman"/>
          <w:b/>
          <w:bCs/>
          <w:sz w:val="26"/>
          <w:szCs w:val="26"/>
        </w:rPr>
      </w:r>
    </w:p>
    <w:p>
      <w:pPr>
        <w:pStyle w:val="Normal"/>
        <w:rPr>
          <w:rFonts w:ascii="Times New Roman" w:hAnsi="Times New Roman"/>
        </w:rPr>
      </w:pPr>
      <w:r>
        <w:drawing>
          <wp:anchor behindDoc="0" distT="0" distB="0" distL="0" distR="0" simplePos="0" locked="0" layoutInCell="0" allowOverlap="1" relativeHeight="2">
            <wp:simplePos x="0" y="0"/>
            <wp:positionH relativeFrom="column">
              <wp:posOffset>899795</wp:posOffset>
            </wp:positionH>
            <wp:positionV relativeFrom="paragraph">
              <wp:posOffset>-12700</wp:posOffset>
            </wp:positionV>
            <wp:extent cx="556260" cy="718820"/>
            <wp:effectExtent l="0" t="0" r="0" b="0"/>
            <wp:wrapTopAndBottom/>
            <wp:docPr id="1" name="Sl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descr=""/>
                    <pic:cNvPicPr>
                      <a:picLocks noChangeAspect="1" noChangeArrowheads="1"/>
                    </pic:cNvPicPr>
                  </pic:nvPicPr>
                  <pic:blipFill>
                    <a:blip r:embed="rId2"/>
                    <a:srcRect l="-1658" t="-1330" r="-1658" b="-1330"/>
                    <a:stretch>
                      <a:fillRect/>
                    </a:stretch>
                  </pic:blipFill>
                  <pic:spPr bwMode="auto">
                    <a:xfrm>
                      <a:off x="0" y="0"/>
                      <a:ext cx="556260" cy="718820"/>
                    </a:xfrm>
                    <a:prstGeom prst="rect">
                      <a:avLst/>
                    </a:prstGeom>
                  </pic:spPr>
                </pic:pic>
              </a:graphicData>
            </a:graphic>
          </wp:anchor>
        </w:drawing>
      </w:r>
      <w:r>
        <w:rPr>
          <w:rFonts w:ascii="Times New Roman" w:hAnsi="Times New Roman"/>
          <w:b/>
          <w:bCs/>
          <w:color w:val="111111"/>
          <w:sz w:val="24"/>
          <w:szCs w:val="24"/>
        </w:rPr>
        <w:t xml:space="preserve">        </w:t>
      </w:r>
      <w:r>
        <w:rPr>
          <w:rFonts w:ascii="Times New Roman" w:hAnsi="Times New Roman"/>
          <w:b/>
          <w:bCs/>
          <w:color w:val="111111"/>
          <w:sz w:val="24"/>
          <w:szCs w:val="24"/>
        </w:rPr>
        <w:t xml:space="preserve">REPUBLIKA HRVATSKA </w:t>
      </w:r>
    </w:p>
    <w:p>
      <w:pPr>
        <w:pStyle w:val="Normal"/>
        <w:rPr>
          <w:rFonts w:ascii="Times New Roman" w:hAnsi="Times New Roman"/>
        </w:rPr>
      </w:pPr>
      <w:r>
        <w:rPr>
          <w:rFonts w:ascii="Times New Roman" w:hAnsi="Times New Roman"/>
          <w:b/>
          <w:bCs/>
          <w:color w:val="111111"/>
          <w:sz w:val="24"/>
          <w:szCs w:val="24"/>
        </w:rPr>
        <w:t xml:space="preserve">OSJEČKO-BARANJSKA ŽUPANIJA                      </w:t>
      </w:r>
      <w:r>
        <w:rPr>
          <w:rFonts w:ascii="Times New Roman" w:hAnsi="Times New Roman"/>
          <w:b w:val="false"/>
          <w:bCs w:val="false"/>
          <w:i/>
          <w:iCs/>
          <w:color w:val="111111"/>
          <w:sz w:val="24"/>
          <w:szCs w:val="24"/>
        </w:rPr>
        <w:t xml:space="preserve"> </w:t>
      </w:r>
    </w:p>
    <w:p>
      <w:pPr>
        <w:pStyle w:val="Normal"/>
        <w:rPr>
          <w:rFonts w:ascii="Times New Roman" w:hAnsi="Times New Roman"/>
        </w:rPr>
      </w:pPr>
      <w:r>
        <w:rPr>
          <w:rFonts w:ascii="Times New Roman" w:hAnsi="Times New Roman"/>
          <w:b/>
          <w:bCs/>
          <w:color w:val="111111"/>
          <w:sz w:val="24"/>
          <w:szCs w:val="24"/>
        </w:rPr>
        <w:t xml:space="preserve">           </w:t>
      </w:r>
      <w:r>
        <w:rPr>
          <w:rFonts w:ascii="Times New Roman" w:hAnsi="Times New Roman"/>
          <w:b/>
          <w:bCs/>
          <w:color w:val="111111"/>
          <w:sz w:val="24"/>
          <w:szCs w:val="24"/>
        </w:rPr>
        <w:t>OPĆINA MARIJANCI</w:t>
      </w:r>
    </w:p>
    <w:p>
      <w:pPr>
        <w:pStyle w:val="Normal"/>
        <w:rPr>
          <w:rFonts w:ascii="Times New Roman" w:hAnsi="Times New Roman"/>
        </w:rPr>
      </w:pPr>
      <w:r>
        <w:rPr>
          <w:rFonts w:ascii="Times New Roman" w:hAnsi="Times New Roman"/>
          <w:b w:val="false"/>
          <w:bCs w:val="false"/>
          <w:color w:val="111111"/>
          <w:sz w:val="24"/>
          <w:szCs w:val="24"/>
        </w:rPr>
        <w:t xml:space="preserve">              </w:t>
      </w:r>
      <w:r>
        <w:rPr>
          <w:rFonts w:ascii="Times New Roman" w:hAnsi="Times New Roman"/>
          <w:b w:val="false"/>
          <w:bCs w:val="false"/>
          <w:color w:val="111111"/>
          <w:sz w:val="24"/>
          <w:szCs w:val="24"/>
        </w:rPr>
        <w:t>OPĆINSKO VIJEĆE</w:t>
      </w:r>
    </w:p>
    <w:p>
      <w:pPr>
        <w:pStyle w:val="Normal"/>
        <w:spacing w:lineRule="auto" w:line="259" w:before="0" w:after="85"/>
        <w:ind w:hanging="0" w:left="991" w:right="0"/>
        <w:jc w:val="left"/>
        <w:rPr>
          <w:rFonts w:ascii="Times New Roman" w:hAnsi="Times New Roman"/>
        </w:rPr>
      </w:pPr>
      <w:r>
        <w:rPr>
          <w:rFonts w:ascii="Times New Roman" w:hAnsi="Times New Roman"/>
          <w:color w:val="111111"/>
          <w:sz w:val="24"/>
          <w:szCs w:val="24"/>
        </w:rPr>
        <w:t xml:space="preserve"> </w:t>
      </w:r>
    </w:p>
    <w:p>
      <w:pPr>
        <w:pStyle w:val="Normal"/>
        <w:widowControl/>
        <w:suppressAutoHyphens w:val="true"/>
        <w:overflowPunct w:val="false"/>
        <w:bidi w:val="0"/>
        <w:spacing w:lineRule="auto" w:line="247" w:before="0" w:after="0"/>
        <w:ind w:hanging="0" w:left="0" w:right="-57"/>
        <w:jc w:val="both"/>
        <w:rPr>
          <w:rFonts w:ascii="Times New Roman" w:hAnsi="Times New Roman"/>
        </w:rPr>
      </w:pPr>
      <w:r>
        <w:rPr>
          <w:rFonts w:cs="Calibri" w:ascii="Times New Roman" w:hAnsi="Times New Roman"/>
          <w:color w:val="111111"/>
          <w:sz w:val="24"/>
          <w:szCs w:val="24"/>
        </w:rPr>
        <w:t xml:space="preserve">KLASA: </w:t>
        <w:tab/>
      </w:r>
    </w:p>
    <w:p>
      <w:pPr>
        <w:pStyle w:val="Normal"/>
        <w:widowControl/>
        <w:suppressAutoHyphens w:val="true"/>
        <w:overflowPunct w:val="false"/>
        <w:bidi w:val="0"/>
        <w:spacing w:lineRule="auto" w:line="247" w:before="0" w:after="0"/>
        <w:ind w:hanging="0" w:left="0" w:right="-57"/>
        <w:jc w:val="both"/>
        <w:rPr>
          <w:rFonts w:ascii="Times New Roman" w:hAnsi="Times New Roman"/>
        </w:rPr>
      </w:pPr>
      <w:r>
        <w:rPr>
          <w:rFonts w:cs="Calibri" w:ascii="Times New Roman" w:hAnsi="Times New Roman"/>
          <w:color w:val="111111"/>
          <w:sz w:val="24"/>
          <w:szCs w:val="24"/>
        </w:rPr>
        <w:t>URBROJ: 2158-27-01-25-</w:t>
      </w:r>
    </w:p>
    <w:p>
      <w:pPr>
        <w:pStyle w:val="Normal"/>
        <w:spacing w:lineRule="auto" w:line="259" w:before="0" w:after="0"/>
        <w:ind w:hanging="10" w:left="-5" w:right="0"/>
        <w:jc w:val="left"/>
        <w:rPr>
          <w:rFonts w:ascii="Times New Roman" w:hAnsi="Times New Roman"/>
        </w:rPr>
      </w:pPr>
      <w:r>
        <w:rPr>
          <w:rFonts w:cs="Calibri" w:ascii="Times New Roman" w:hAnsi="Times New Roman"/>
          <w:color w:val="111111"/>
          <w:sz w:val="24"/>
          <w:szCs w:val="24"/>
        </w:rPr>
        <w:t>U Marijancima, _________ 2025. godine</w:t>
      </w:r>
    </w:p>
    <w:p>
      <w:pPr>
        <w:pStyle w:val="Normal"/>
        <w:spacing w:lineRule="auto" w:line="259" w:before="0" w:after="0"/>
        <w:ind w:hanging="0" w:left="2179" w:right="0"/>
        <w:jc w:val="left"/>
        <w:rPr>
          <w:rFonts w:ascii="Times New Roman" w:hAnsi="Times New Roman"/>
        </w:rPr>
      </w:pPr>
      <w:r>
        <w:rPr>
          <w:rFonts w:ascii="Times New Roman" w:hAnsi="Times New Roman"/>
          <w:color w:val="111111"/>
          <w:sz w:val="24"/>
          <w:szCs w:val="24"/>
        </w:rPr>
        <w:t xml:space="preserve"> </w:t>
      </w:r>
    </w:p>
    <w:p>
      <w:pPr>
        <w:pStyle w:val="Normal"/>
        <w:ind w:hanging="10" w:left="-5" w:right="0"/>
        <w:rPr>
          <w:rFonts w:ascii="Times New Roman" w:hAnsi="Times New Roman"/>
        </w:rPr>
      </w:pPr>
      <w:r>
        <w:rPr>
          <w:rFonts w:cs="Calibri" w:ascii="Times New Roman" w:hAnsi="Times New Roman"/>
          <w:color w:val="111111"/>
          <w:sz w:val="24"/>
          <w:szCs w:val="24"/>
        </w:rPr>
        <w:t>Na temelju članka 66. Zakona o gospodarenju otpadom („Narodne novine” br. 84/21, 142/23) i članka 31. Statuta Općine Mariajnci („Službeni glasnik” Općine Marijanci br. 1/18, 2/21), Općinsko vijeće Općine Marijanci na 24. sjednici održanoj __________ 2025. godine donijelo je</w:t>
      </w:r>
    </w:p>
    <w:p>
      <w:pPr>
        <w:pStyle w:val="Normal"/>
        <w:spacing w:lineRule="auto" w:line="259" w:before="0" w:after="271"/>
        <w:ind w:hanging="0" w:left="0" w:right="0"/>
        <w:jc w:val="left"/>
        <w:rPr>
          <w:rFonts w:ascii="Times New Roman" w:hAnsi="Times New Roman"/>
        </w:rPr>
      </w:pPr>
      <w:r>
        <w:rPr>
          <w:rFonts w:cs="Calibri" w:ascii="Times New Roman" w:hAnsi="Times New Roman"/>
          <w:color w:val="111111"/>
          <w:sz w:val="24"/>
          <w:szCs w:val="24"/>
        </w:rPr>
        <w:t xml:space="preserve"> </w:t>
      </w:r>
    </w:p>
    <w:p>
      <w:pPr>
        <w:pStyle w:val="Heading1"/>
        <w:ind w:hanging="0" w:left="0" w:right="5"/>
        <w:rPr>
          <w:rFonts w:ascii="Times New Roman" w:hAnsi="Times New Roman"/>
        </w:rPr>
      </w:pPr>
      <w:r>
        <w:rPr>
          <w:rFonts w:cs="Calibri" w:ascii="Times New Roman" w:hAnsi="Times New Roman"/>
          <w:color w:val="111111"/>
          <w:sz w:val="24"/>
          <w:szCs w:val="24"/>
        </w:rPr>
        <w:t xml:space="preserve">O D L U K U </w:t>
      </w:r>
    </w:p>
    <w:p>
      <w:pPr>
        <w:pStyle w:val="Normal"/>
        <w:spacing w:lineRule="auto" w:line="259" w:before="0" w:after="460"/>
        <w:ind w:hanging="0" w:left="137" w:right="0"/>
        <w:jc w:val="center"/>
        <w:rPr>
          <w:rFonts w:ascii="Times New Roman" w:hAnsi="Times New Roman"/>
        </w:rPr>
      </w:pPr>
      <w:r>
        <w:rPr>
          <w:rFonts w:cs="Calibri" w:ascii="Times New Roman" w:hAnsi="Times New Roman"/>
          <w:b/>
          <w:color w:val="111111"/>
          <w:sz w:val="24"/>
          <w:szCs w:val="24"/>
        </w:rPr>
        <w:t>o načinu pružanja javne usluge sakupljanja komunalnog otpada na području  Općine Marijanci</w:t>
      </w:r>
    </w:p>
    <w:p>
      <w:pPr>
        <w:pStyle w:val="Heading2"/>
        <w:ind w:hanging="10" w:left="-5" w:right="0"/>
        <w:rPr>
          <w:rFonts w:ascii="Times New Roman" w:hAnsi="Times New Roman"/>
        </w:rPr>
      </w:pPr>
      <w:r>
        <w:rPr>
          <w:rFonts w:cs="Calibri" w:ascii="Times New Roman" w:hAnsi="Times New Roman"/>
          <w:color w:val="111111"/>
          <w:sz w:val="24"/>
          <w:szCs w:val="24"/>
        </w:rPr>
        <w:t>Uvodne odredbe</w:t>
      </w:r>
      <w:r>
        <w:rPr>
          <w:rFonts w:cs="Calibri" w:ascii="Times New Roman" w:hAnsi="Times New Roman"/>
          <w:color w:val="111111"/>
          <w:sz w:val="24"/>
          <w:szCs w:val="24"/>
          <w:u w:val="none"/>
        </w:rPr>
        <w:t xml:space="preserve"> </w:t>
      </w:r>
    </w:p>
    <w:p>
      <w:pPr>
        <w:pStyle w:val="Normal"/>
        <w:spacing w:lineRule="auto" w:line="247" w:before="0" w:after="27"/>
        <w:ind w:hanging="10" w:left="10" w:right="7"/>
        <w:jc w:val="center"/>
        <w:rPr>
          <w:rFonts w:ascii="Times New Roman" w:hAnsi="Times New Roman"/>
        </w:rPr>
      </w:pPr>
      <w:r>
        <w:rPr>
          <w:rFonts w:cs="Calibri" w:ascii="Times New Roman" w:hAnsi="Times New Roman"/>
          <w:b/>
          <w:color w:val="111111"/>
          <w:sz w:val="24"/>
          <w:szCs w:val="24"/>
        </w:rPr>
        <w:t xml:space="preserve">Članak 1. </w:t>
      </w:r>
    </w:p>
    <w:p>
      <w:pPr>
        <w:pStyle w:val="Normal"/>
        <w:numPr>
          <w:ilvl w:val="0"/>
          <w:numId w:val="1"/>
        </w:numPr>
        <w:spacing w:before="0" w:after="112"/>
        <w:ind w:hanging="295" w:left="295" w:right="0"/>
        <w:rPr>
          <w:rFonts w:ascii="Times New Roman" w:hAnsi="Times New Roman"/>
        </w:rPr>
      </w:pPr>
      <w:r>
        <w:rPr>
          <w:rFonts w:cs="Calibri" w:ascii="Times New Roman" w:hAnsi="Times New Roman"/>
          <w:color w:val="111111"/>
          <w:sz w:val="24"/>
          <w:szCs w:val="24"/>
        </w:rPr>
        <w:t xml:space="preserve">Ovom Odlukom utvrđuju se način i uvjeti pružanja javne usluge sakupljanja komunalnog otpada na području Općine Marijanci putem spremnika od pojedinog korisnika te prijevoza i predaje tog otpada ovlaštenoj osobi za obradu otpada (u daljnjem tekstu: javna usluga). </w:t>
      </w:r>
    </w:p>
    <w:p>
      <w:pPr>
        <w:pStyle w:val="Normal"/>
        <w:numPr>
          <w:ilvl w:val="0"/>
          <w:numId w:val="1"/>
        </w:numPr>
        <w:spacing w:before="0" w:after="112"/>
        <w:ind w:hanging="295" w:left="295" w:right="0"/>
        <w:rPr>
          <w:rFonts w:ascii="Times New Roman" w:hAnsi="Times New Roman"/>
        </w:rPr>
      </w:pPr>
      <w:r>
        <w:rPr>
          <w:rFonts w:cs="Calibri" w:ascii="Times New Roman" w:hAnsi="Times New Roman"/>
          <w:color w:val="111111"/>
          <w:sz w:val="24"/>
          <w:szCs w:val="24"/>
        </w:rPr>
        <w:t xml:space="preserve">Javna usluga je usluga od općeg interesa i podrazumijeva usluge prikupljanja miješanog komunalnog otpada, biootpada, reciklabilnog komunalnog otpada, jednom godišnje glomaznog otpada na lokaciji obračunskog mjesta korisnika, preuzimanja otpada u reciklažnom dvorištu i mobilnom reciklažnom dvorištu te prijevoza i predaje otpada ovlaštenoj osobi – zbrinjavatelju/oporabitelju otpada. </w:t>
      </w:r>
    </w:p>
    <w:p>
      <w:pPr>
        <w:pStyle w:val="Normal"/>
        <w:numPr>
          <w:ilvl w:val="0"/>
          <w:numId w:val="1"/>
        </w:numPr>
        <w:spacing w:before="0" w:after="142"/>
        <w:ind w:hanging="295" w:left="295" w:right="0"/>
        <w:rPr>
          <w:rFonts w:ascii="Times New Roman" w:hAnsi="Times New Roman"/>
        </w:rPr>
      </w:pPr>
      <w:r>
        <w:rPr>
          <w:rFonts w:cs="Calibri" w:ascii="Times New Roman" w:hAnsi="Times New Roman"/>
          <w:color w:val="111111"/>
          <w:sz w:val="24"/>
          <w:szCs w:val="24"/>
        </w:rPr>
        <w:t xml:space="preserve">Ovom Odlukom propisuju se: </w:t>
      </w:r>
    </w:p>
    <w:p>
      <w:pPr>
        <w:pStyle w:val="Normal"/>
        <w:numPr>
          <w:ilvl w:val="0"/>
          <w:numId w:val="0"/>
        </w:numPr>
        <w:spacing w:before="0" w:after="0"/>
        <w:ind w:hanging="0" w:left="295" w:right="0"/>
        <w:jc w:val="left"/>
        <w:rPr>
          <w:rFonts w:ascii="Times New Roman" w:hAnsi="Times New Roman"/>
        </w:rPr>
      </w:pPr>
      <w:r>
        <w:rPr>
          <w:rFonts w:cs="Calibri" w:ascii="Times New Roman" w:hAnsi="Times New Roman"/>
          <w:color w:val="111111"/>
          <w:sz w:val="24"/>
          <w:szCs w:val="24"/>
        </w:rPr>
        <w:t>1. kriterij obračuna količine miješanog komunalnog otpada i obračunska razdoblja;</w:t>
      </w:r>
    </w:p>
    <w:p>
      <w:pPr>
        <w:pStyle w:val="Normal"/>
        <w:numPr>
          <w:ilvl w:val="0"/>
          <w:numId w:val="0"/>
        </w:numPr>
        <w:spacing w:before="0" w:after="0"/>
        <w:ind w:hanging="0" w:left="295" w:right="0"/>
        <w:jc w:val="left"/>
        <w:rPr/>
      </w:pPr>
      <w:r>
        <w:rPr>
          <w:rFonts w:cs="Calibri" w:ascii="Times New Roman" w:hAnsi="Times New Roman"/>
          <w:color w:val="111111"/>
          <w:sz w:val="24"/>
          <w:szCs w:val="24"/>
        </w:rPr>
        <w:t xml:space="preserve">2. kategorije korisnika javne usluge; </w:t>
      </w:r>
    </w:p>
    <w:p>
      <w:pPr>
        <w:pStyle w:val="Normal"/>
        <w:numPr>
          <w:ilvl w:val="0"/>
          <w:numId w:val="0"/>
        </w:numPr>
        <w:spacing w:before="0" w:after="0"/>
        <w:ind w:hanging="0" w:left="295" w:right="0"/>
        <w:jc w:val="left"/>
        <w:rPr/>
      </w:pPr>
      <w:r>
        <w:rPr>
          <w:rFonts w:cs="Calibri" w:ascii="Times New Roman" w:hAnsi="Times New Roman"/>
          <w:color w:val="111111"/>
          <w:sz w:val="24"/>
          <w:szCs w:val="24"/>
        </w:rPr>
        <w:t xml:space="preserve">3. standardne veličine i druga bitna svojstva spremnika za sakupljanje otpada; </w:t>
      </w:r>
    </w:p>
    <w:p>
      <w:pPr>
        <w:pStyle w:val="Normal"/>
        <w:numPr>
          <w:ilvl w:val="0"/>
          <w:numId w:val="0"/>
        </w:numPr>
        <w:spacing w:before="0" w:after="0"/>
        <w:ind w:hanging="0" w:left="295" w:right="0"/>
        <w:jc w:val="left"/>
        <w:rPr/>
      </w:pPr>
      <w:r>
        <w:rPr>
          <w:rFonts w:cs="Calibri" w:ascii="Times New Roman" w:hAnsi="Times New Roman"/>
          <w:color w:val="111111"/>
          <w:sz w:val="24"/>
          <w:szCs w:val="24"/>
        </w:rPr>
        <w:t xml:space="preserve">4. najmanja učestalost odvoza otpada prema područjima; </w:t>
      </w:r>
    </w:p>
    <w:p>
      <w:pPr>
        <w:pStyle w:val="Normal"/>
        <w:numPr>
          <w:ilvl w:val="0"/>
          <w:numId w:val="0"/>
        </w:numPr>
        <w:spacing w:before="0" w:after="0"/>
        <w:ind w:hanging="0" w:left="295" w:right="0"/>
        <w:jc w:val="left"/>
        <w:rPr/>
      </w:pPr>
      <w:r>
        <w:rPr>
          <w:rFonts w:cs="Calibri" w:ascii="Times New Roman" w:hAnsi="Times New Roman"/>
          <w:color w:val="111111"/>
          <w:sz w:val="24"/>
          <w:szCs w:val="24"/>
        </w:rPr>
        <w:t xml:space="preserve">5. područja pružanja javne usluge; </w:t>
      </w:r>
    </w:p>
    <w:p>
      <w:pPr>
        <w:pStyle w:val="Normal"/>
        <w:numPr>
          <w:ilvl w:val="0"/>
          <w:numId w:val="0"/>
        </w:numPr>
        <w:spacing w:before="0" w:after="0"/>
        <w:ind w:hanging="0" w:left="295" w:right="0"/>
        <w:jc w:val="left"/>
        <w:rPr/>
      </w:pPr>
      <w:r>
        <w:rPr>
          <w:rFonts w:cs="Calibri" w:ascii="Times New Roman" w:hAnsi="Times New Roman"/>
          <w:color w:val="111111"/>
          <w:sz w:val="24"/>
          <w:szCs w:val="24"/>
        </w:rPr>
        <w:t>6. popis reciklažnih dvorišta na području Općine Marijanci i način njihovog korištenja;</w:t>
      </w:r>
    </w:p>
    <w:p>
      <w:pPr>
        <w:pStyle w:val="Normal"/>
        <w:numPr>
          <w:ilvl w:val="0"/>
          <w:numId w:val="0"/>
        </w:numPr>
        <w:spacing w:before="0" w:after="0"/>
        <w:ind w:hanging="0" w:left="295" w:right="0"/>
        <w:jc w:val="left"/>
        <w:rPr/>
      </w:pPr>
      <w:r>
        <w:rPr>
          <w:rFonts w:cs="Calibri" w:ascii="Times New Roman" w:hAnsi="Times New Roman"/>
          <w:color w:val="111111"/>
          <w:sz w:val="24"/>
          <w:szCs w:val="24"/>
        </w:rPr>
        <w:t>7. način pružanja javne usluge: odredbe o načinu pojedinačnog korištenja javne usluge;</w:t>
      </w:r>
    </w:p>
    <w:p>
      <w:pPr>
        <w:pStyle w:val="Normal"/>
        <w:numPr>
          <w:ilvl w:val="0"/>
          <w:numId w:val="0"/>
        </w:numPr>
        <w:spacing w:before="0" w:after="0"/>
        <w:ind w:hanging="0" w:left="295" w:right="0"/>
        <w:jc w:val="left"/>
        <w:rPr/>
      </w:pPr>
      <w:r>
        <w:rPr>
          <w:rFonts w:cs="Calibri" w:ascii="Times New Roman" w:hAnsi="Times New Roman"/>
          <w:color w:val="111111"/>
          <w:sz w:val="24"/>
          <w:szCs w:val="24"/>
        </w:rPr>
        <w:t>odredbe o prihvatljivom dokazu izvršenja javne usluge za pojedinog korisnika usluge;</w:t>
      </w:r>
    </w:p>
    <w:p>
      <w:pPr>
        <w:pStyle w:val="Normal"/>
        <w:numPr>
          <w:ilvl w:val="0"/>
          <w:numId w:val="0"/>
        </w:numPr>
        <w:spacing w:before="0" w:after="0"/>
        <w:ind w:hanging="0" w:left="295" w:right="0"/>
        <w:jc w:val="left"/>
        <w:rPr/>
      </w:pPr>
      <w:r>
        <w:rPr>
          <w:rFonts w:cs="Calibri" w:ascii="Times New Roman" w:hAnsi="Times New Roman"/>
          <w:color w:val="111111"/>
          <w:sz w:val="24"/>
          <w:szCs w:val="24"/>
        </w:rPr>
        <w:t>odredbe o načinu korištenja zajedničkog spremnika; odredbe o količini glomaznog otpada</w:t>
      </w:r>
    </w:p>
    <w:p>
      <w:pPr>
        <w:pStyle w:val="Normal"/>
        <w:numPr>
          <w:ilvl w:val="0"/>
          <w:numId w:val="0"/>
        </w:numPr>
        <w:spacing w:before="0" w:after="0"/>
        <w:ind w:hanging="0" w:left="295" w:right="0"/>
        <w:jc w:val="left"/>
        <w:rPr/>
      </w:pPr>
      <w:r>
        <w:rPr>
          <w:rFonts w:cs="Calibri" w:ascii="Times New Roman" w:hAnsi="Times New Roman"/>
          <w:color w:val="111111"/>
          <w:sz w:val="24"/>
          <w:szCs w:val="24"/>
        </w:rPr>
        <w:t>koji se preuzima u okviru javne usluge; način određivanja udjela korisnika javne usluge u</w:t>
      </w:r>
    </w:p>
    <w:p>
      <w:pPr>
        <w:pStyle w:val="Normal"/>
        <w:numPr>
          <w:ilvl w:val="0"/>
          <w:numId w:val="0"/>
        </w:numPr>
        <w:spacing w:before="0" w:after="0"/>
        <w:ind w:hanging="0" w:left="295" w:right="0"/>
        <w:jc w:val="left"/>
        <w:rPr/>
      </w:pPr>
      <w:r>
        <w:rPr>
          <w:rFonts w:cs="Calibri" w:ascii="Times New Roman" w:hAnsi="Times New Roman"/>
          <w:color w:val="111111"/>
          <w:sz w:val="24"/>
          <w:szCs w:val="24"/>
        </w:rPr>
        <w:t xml:space="preserve">slučaju kad korisnici usluge kućanstva i pravne osobe ili fizičke osobe – obrtnici koriste </w:t>
      </w:r>
    </w:p>
    <w:p>
      <w:pPr>
        <w:pStyle w:val="Normal"/>
        <w:numPr>
          <w:ilvl w:val="0"/>
          <w:numId w:val="0"/>
        </w:numPr>
        <w:spacing w:before="0" w:after="0"/>
        <w:ind w:hanging="0" w:left="295" w:right="0"/>
        <w:jc w:val="left"/>
        <w:rPr/>
      </w:pPr>
      <w:r>
        <w:rPr>
          <w:rFonts w:cs="Calibri" w:ascii="Times New Roman" w:hAnsi="Times New Roman"/>
          <w:color w:val="111111"/>
          <w:sz w:val="24"/>
          <w:szCs w:val="24"/>
        </w:rPr>
        <w:t>zajednički  spremnik, a nije postignut sporazum o njihovim udjelima;</w:t>
      </w:r>
    </w:p>
    <w:p>
      <w:pPr>
        <w:pStyle w:val="Normal"/>
        <w:numPr>
          <w:ilvl w:val="0"/>
          <w:numId w:val="0"/>
        </w:numPr>
        <w:spacing w:before="0" w:after="0"/>
        <w:ind w:hanging="0" w:left="295" w:right="0"/>
        <w:jc w:val="left"/>
        <w:rPr/>
      </w:pPr>
      <w:r>
        <w:rPr>
          <w:rFonts w:cs="Calibri" w:ascii="Times New Roman" w:hAnsi="Times New Roman"/>
          <w:color w:val="111111"/>
          <w:sz w:val="24"/>
          <w:szCs w:val="24"/>
        </w:rPr>
        <w:t xml:space="preserve">8. odredbe o korištenju javnih površina za prikupljanje otpada i mjestima primopredaje                   otpada ako su različita od obračunskog mjesta; </w:t>
      </w:r>
    </w:p>
    <w:p>
      <w:pPr>
        <w:pStyle w:val="Normal"/>
        <w:numPr>
          <w:ilvl w:val="0"/>
          <w:numId w:val="0"/>
        </w:numPr>
        <w:spacing w:before="0" w:after="0"/>
        <w:ind w:hanging="0" w:left="295" w:right="0"/>
        <w:jc w:val="left"/>
        <w:rPr/>
      </w:pPr>
      <w:r>
        <w:rPr>
          <w:rFonts w:cs="Calibri" w:ascii="Times New Roman" w:hAnsi="Times New Roman"/>
          <w:color w:val="111111"/>
          <w:sz w:val="24"/>
          <w:szCs w:val="24"/>
        </w:rPr>
        <w:t>9. obveze davatelja javne usluge;</w:t>
      </w:r>
    </w:p>
    <w:p>
      <w:pPr>
        <w:pStyle w:val="Normal"/>
        <w:numPr>
          <w:ilvl w:val="0"/>
          <w:numId w:val="0"/>
        </w:numPr>
        <w:spacing w:before="0" w:after="0"/>
        <w:ind w:hanging="0" w:left="295" w:right="0"/>
        <w:jc w:val="left"/>
        <w:rPr/>
      </w:pPr>
      <w:r>
        <w:rPr>
          <w:rFonts w:cs="Calibri" w:ascii="Times New Roman" w:hAnsi="Times New Roman"/>
          <w:color w:val="111111"/>
          <w:sz w:val="24"/>
          <w:szCs w:val="24"/>
        </w:rPr>
        <w:t>10. obveze korisnika javne usluge;</w:t>
      </w:r>
    </w:p>
    <w:p>
      <w:pPr>
        <w:pStyle w:val="Normal"/>
        <w:numPr>
          <w:ilvl w:val="0"/>
          <w:numId w:val="0"/>
        </w:numPr>
        <w:spacing w:before="0" w:after="0"/>
        <w:ind w:hanging="0" w:left="295" w:right="0"/>
        <w:jc w:val="left"/>
        <w:rPr/>
      </w:pPr>
      <w:r>
        <w:rPr>
          <w:rFonts w:cs="Calibri" w:ascii="Times New Roman" w:hAnsi="Times New Roman"/>
          <w:color w:val="111111"/>
          <w:sz w:val="24"/>
          <w:szCs w:val="24"/>
        </w:rPr>
        <w:t xml:space="preserve">11. odredbe o informiranju korisnika javne usluge o načinu djelovanja sustava gospodarenja </w:t>
      </w:r>
    </w:p>
    <w:p>
      <w:pPr>
        <w:pStyle w:val="Normal"/>
        <w:numPr>
          <w:ilvl w:val="0"/>
          <w:numId w:val="0"/>
        </w:numPr>
        <w:spacing w:before="0" w:after="0"/>
        <w:ind w:hanging="0" w:left="295" w:right="0"/>
        <w:jc w:val="left"/>
        <w:rPr/>
      </w:pPr>
      <w:r>
        <w:rPr>
          <w:rFonts w:cs="Calibri" w:ascii="Times New Roman" w:hAnsi="Times New Roman"/>
          <w:color w:val="111111"/>
          <w:sz w:val="24"/>
          <w:szCs w:val="24"/>
        </w:rPr>
        <w:t>otpadom;</w:t>
      </w:r>
    </w:p>
    <w:p>
      <w:pPr>
        <w:pStyle w:val="Normal"/>
        <w:numPr>
          <w:ilvl w:val="0"/>
          <w:numId w:val="0"/>
        </w:numPr>
        <w:spacing w:before="0" w:after="0"/>
        <w:ind w:hanging="0" w:left="295" w:right="0"/>
        <w:jc w:val="left"/>
        <w:rPr/>
      </w:pPr>
      <w:r>
        <w:rPr>
          <w:rFonts w:cs="Calibri" w:ascii="Times New Roman" w:hAnsi="Times New Roman"/>
          <w:color w:val="111111"/>
          <w:sz w:val="24"/>
          <w:szCs w:val="24"/>
        </w:rPr>
        <w:t xml:space="preserve">12. odredbe o prikupljanju i pohrani podataka te prihvatljivim dokazima izvršenja javne </w:t>
      </w:r>
    </w:p>
    <w:p>
      <w:pPr>
        <w:pStyle w:val="Normal"/>
        <w:numPr>
          <w:ilvl w:val="0"/>
          <w:numId w:val="0"/>
        </w:numPr>
        <w:spacing w:before="0" w:after="0"/>
        <w:ind w:hanging="0" w:left="295" w:right="0"/>
        <w:jc w:val="left"/>
        <w:rPr/>
      </w:pPr>
      <w:r>
        <w:rPr>
          <w:rFonts w:cs="Calibri" w:ascii="Times New Roman" w:hAnsi="Times New Roman"/>
          <w:color w:val="111111"/>
          <w:sz w:val="24"/>
          <w:szCs w:val="24"/>
        </w:rPr>
        <w:t xml:space="preserve"> </w:t>
      </w:r>
      <w:r>
        <w:rPr>
          <w:rFonts w:cs="Calibri" w:ascii="Times New Roman" w:hAnsi="Times New Roman"/>
          <w:color w:val="111111"/>
          <w:sz w:val="24"/>
          <w:szCs w:val="24"/>
        </w:rPr>
        <w:t>usluge za pojedinačnog korisnika javne usluge;</w:t>
      </w:r>
    </w:p>
    <w:p>
      <w:pPr>
        <w:pStyle w:val="Normal"/>
        <w:numPr>
          <w:ilvl w:val="0"/>
          <w:numId w:val="0"/>
        </w:numPr>
        <w:spacing w:before="0" w:after="0"/>
        <w:ind w:hanging="0" w:left="295" w:right="0"/>
        <w:jc w:val="left"/>
        <w:rPr/>
      </w:pPr>
      <w:r>
        <w:rPr>
          <w:rFonts w:cs="Calibri" w:ascii="Times New Roman" w:hAnsi="Times New Roman"/>
          <w:color w:val="111111"/>
          <w:sz w:val="24"/>
          <w:szCs w:val="24"/>
        </w:rPr>
        <w:t xml:space="preserve">13. odredbe o načinu sklapanja i provedbe ugovora o javnoj usluzi (u daljnjem tekstu: </w:t>
      </w:r>
    </w:p>
    <w:p>
      <w:pPr>
        <w:pStyle w:val="Normal"/>
        <w:numPr>
          <w:ilvl w:val="0"/>
          <w:numId w:val="0"/>
        </w:numPr>
        <w:spacing w:before="0" w:after="0"/>
        <w:ind w:hanging="0" w:left="295" w:right="0"/>
        <w:jc w:val="left"/>
        <w:rPr/>
      </w:pPr>
      <w:r>
        <w:rPr>
          <w:rFonts w:cs="Calibri" w:ascii="Times New Roman" w:hAnsi="Times New Roman"/>
          <w:color w:val="111111"/>
          <w:sz w:val="24"/>
          <w:szCs w:val="24"/>
        </w:rPr>
        <w:t>Ugovor);</w:t>
      </w:r>
    </w:p>
    <w:p>
      <w:pPr>
        <w:pStyle w:val="Normal"/>
        <w:numPr>
          <w:ilvl w:val="0"/>
          <w:numId w:val="0"/>
        </w:numPr>
        <w:spacing w:before="0" w:after="0"/>
        <w:ind w:hanging="0" w:left="295" w:right="0"/>
        <w:jc w:val="left"/>
        <w:rPr/>
      </w:pPr>
      <w:r>
        <w:rPr>
          <w:rFonts w:cs="Calibri" w:ascii="Times New Roman" w:hAnsi="Times New Roman"/>
          <w:color w:val="111111"/>
          <w:sz w:val="24"/>
          <w:szCs w:val="24"/>
        </w:rPr>
        <w:t>14. odredbe o provedbi Ugovora koje se primjenjuju u slučaju nastupanja posebnih   okolnosti uključujući elementarne nepogode, katastrofe i slično;</w:t>
      </w:r>
    </w:p>
    <w:p>
      <w:pPr>
        <w:pStyle w:val="Normal"/>
        <w:numPr>
          <w:ilvl w:val="0"/>
          <w:numId w:val="0"/>
        </w:numPr>
        <w:spacing w:before="0" w:after="0"/>
        <w:ind w:hanging="0" w:left="295" w:right="0"/>
        <w:jc w:val="left"/>
        <w:rPr/>
      </w:pPr>
      <w:r>
        <w:rPr>
          <w:rFonts w:cs="Calibri" w:ascii="Times New Roman" w:hAnsi="Times New Roman"/>
          <w:color w:val="111111"/>
          <w:sz w:val="24"/>
          <w:szCs w:val="24"/>
        </w:rPr>
        <w:t xml:space="preserve">15. odredbe o načinu podnošenja prigovora i postupanja po prigovoru građana na neugodu </w:t>
      </w:r>
    </w:p>
    <w:p>
      <w:pPr>
        <w:pStyle w:val="Normal"/>
        <w:numPr>
          <w:ilvl w:val="0"/>
          <w:numId w:val="0"/>
        </w:numPr>
        <w:spacing w:before="0" w:after="0"/>
        <w:ind w:hanging="0" w:left="295" w:right="0"/>
        <w:jc w:val="left"/>
        <w:rPr/>
      </w:pPr>
      <w:r>
        <w:rPr>
          <w:rFonts w:cs="Calibri" w:ascii="Times New Roman" w:hAnsi="Times New Roman"/>
          <w:color w:val="111111"/>
          <w:sz w:val="24"/>
          <w:szCs w:val="24"/>
        </w:rPr>
        <w:t xml:space="preserve"> </w:t>
      </w:r>
      <w:r>
        <w:rPr>
          <w:rFonts w:cs="Calibri" w:ascii="Times New Roman" w:hAnsi="Times New Roman"/>
          <w:color w:val="111111"/>
          <w:sz w:val="24"/>
          <w:szCs w:val="24"/>
        </w:rPr>
        <w:t>uzrokovanu sustavom sakupljanja komunalnog otpada i prigovora na račun za javnu uslugu;</w:t>
      </w:r>
    </w:p>
    <w:p>
      <w:pPr>
        <w:pStyle w:val="Normal"/>
        <w:numPr>
          <w:ilvl w:val="0"/>
          <w:numId w:val="0"/>
        </w:numPr>
        <w:spacing w:before="0" w:after="0"/>
        <w:ind w:hanging="0" w:left="295" w:right="0"/>
        <w:jc w:val="left"/>
        <w:rPr/>
      </w:pPr>
      <w:r>
        <w:rPr>
          <w:rFonts w:cs="Calibri" w:ascii="Times New Roman" w:hAnsi="Times New Roman"/>
          <w:color w:val="111111"/>
          <w:sz w:val="24"/>
          <w:szCs w:val="24"/>
        </w:rPr>
        <w:t>16. iznos cijene minimalne javne usluge, s obrazloženjem načina na koji je određen, kao i</w:t>
      </w:r>
    </w:p>
    <w:p>
      <w:pPr>
        <w:pStyle w:val="Normal"/>
        <w:numPr>
          <w:ilvl w:val="0"/>
          <w:numId w:val="0"/>
        </w:numPr>
        <w:spacing w:before="0" w:after="0"/>
        <w:ind w:hanging="0" w:left="295" w:right="0"/>
        <w:jc w:val="left"/>
        <w:rPr/>
      </w:pPr>
      <w:r>
        <w:rPr>
          <w:rFonts w:cs="Calibri" w:ascii="Times New Roman" w:hAnsi="Times New Roman"/>
          <w:color w:val="111111"/>
          <w:sz w:val="24"/>
          <w:szCs w:val="24"/>
        </w:rPr>
        <w:t>iznos naknada koje se naplaćuju u sklopu naplate cijene minimalne javne usluge;</w:t>
      </w:r>
    </w:p>
    <w:p>
      <w:pPr>
        <w:pStyle w:val="Normal"/>
        <w:numPr>
          <w:ilvl w:val="0"/>
          <w:numId w:val="0"/>
        </w:numPr>
        <w:spacing w:before="0" w:after="0"/>
        <w:ind w:hanging="0" w:left="295" w:right="0"/>
        <w:jc w:val="left"/>
        <w:rPr/>
      </w:pPr>
      <w:r>
        <w:rPr>
          <w:rFonts w:cs="Calibri" w:ascii="Times New Roman" w:hAnsi="Times New Roman"/>
          <w:color w:val="111111"/>
          <w:sz w:val="24"/>
          <w:szCs w:val="24"/>
        </w:rPr>
        <w:t>17. odredbe o utvrđivanju kriterija za umanjenje cijene javne usluge;</w:t>
      </w:r>
    </w:p>
    <w:p>
      <w:pPr>
        <w:pStyle w:val="Normal"/>
        <w:numPr>
          <w:ilvl w:val="0"/>
          <w:numId w:val="0"/>
        </w:numPr>
        <w:spacing w:before="0" w:after="0"/>
        <w:ind w:hanging="0" w:left="295" w:right="0"/>
        <w:jc w:val="left"/>
        <w:rPr/>
      </w:pPr>
      <w:r>
        <w:rPr>
          <w:rFonts w:cs="Calibri" w:ascii="Times New Roman" w:hAnsi="Times New Roman"/>
          <w:color w:val="111111"/>
          <w:sz w:val="24"/>
          <w:szCs w:val="24"/>
        </w:rPr>
        <w:t>18. odredbe o kriterijima za određivanje korisnika javne usluge u čije ime Općina</w:t>
      </w:r>
    </w:p>
    <w:p>
      <w:pPr>
        <w:pStyle w:val="Normal"/>
        <w:numPr>
          <w:ilvl w:val="0"/>
          <w:numId w:val="0"/>
        </w:numPr>
        <w:spacing w:before="0" w:after="0"/>
        <w:ind w:hanging="0" w:left="295" w:right="0"/>
        <w:jc w:val="left"/>
        <w:rPr/>
      </w:pPr>
      <w:r>
        <w:rPr>
          <w:rFonts w:cs="Calibri" w:ascii="Times New Roman" w:hAnsi="Times New Roman"/>
          <w:color w:val="111111"/>
          <w:sz w:val="24"/>
          <w:szCs w:val="24"/>
        </w:rPr>
        <w:t>Marijanci prezima obvezu sufinanciranja cijene javne usluge;</w:t>
      </w:r>
    </w:p>
    <w:p>
      <w:pPr>
        <w:pStyle w:val="Normal"/>
        <w:numPr>
          <w:ilvl w:val="0"/>
          <w:numId w:val="0"/>
        </w:numPr>
        <w:spacing w:before="0" w:after="0"/>
        <w:ind w:hanging="0" w:left="295" w:right="0"/>
        <w:jc w:val="left"/>
        <w:rPr/>
      </w:pPr>
      <w:r>
        <w:rPr>
          <w:rFonts w:cs="Calibri" w:ascii="Times New Roman" w:hAnsi="Times New Roman"/>
          <w:color w:val="111111"/>
          <w:sz w:val="24"/>
          <w:szCs w:val="24"/>
        </w:rPr>
        <w:t>19. odredbe o ugovornoj kazni;</w:t>
      </w:r>
    </w:p>
    <w:p>
      <w:pPr>
        <w:pStyle w:val="Normal"/>
        <w:numPr>
          <w:ilvl w:val="0"/>
          <w:numId w:val="0"/>
        </w:numPr>
        <w:spacing w:before="0" w:after="0"/>
        <w:ind w:hanging="0" w:left="295" w:right="0"/>
        <w:jc w:val="left"/>
        <w:rPr/>
      </w:pPr>
      <w:r>
        <w:rPr>
          <w:rFonts w:cs="Calibri" w:ascii="Times New Roman" w:hAnsi="Times New Roman"/>
          <w:color w:val="111111"/>
          <w:sz w:val="24"/>
          <w:szCs w:val="24"/>
        </w:rPr>
        <w:t>20. opći uvjeti ugovora s korisnicima (u daljnjem tekstu: Ugovor).</w:t>
      </w:r>
    </w:p>
    <w:p>
      <w:pPr>
        <w:pStyle w:val="Normal"/>
        <w:numPr>
          <w:ilvl w:val="0"/>
          <w:numId w:val="0"/>
        </w:numPr>
        <w:spacing w:before="0" w:after="0"/>
        <w:ind w:hanging="0" w:left="295" w:right="0"/>
        <w:rPr>
          <w:rFonts w:ascii="Times New Roman" w:hAnsi="Times New Roman"/>
        </w:rPr>
      </w:pPr>
      <w:r>
        <w:rPr>
          <w:rFonts w:ascii="Times New Roman" w:hAnsi="Times New Roman"/>
        </w:rPr>
      </w:r>
    </w:p>
    <w:p>
      <w:pPr>
        <w:pStyle w:val="Normal"/>
        <w:spacing w:lineRule="auto" w:line="247" w:before="0" w:after="27"/>
        <w:ind w:hanging="10" w:left="10" w:right="7"/>
        <w:jc w:val="center"/>
        <w:rPr>
          <w:rFonts w:ascii="Times New Roman" w:hAnsi="Times New Roman"/>
        </w:rPr>
      </w:pPr>
      <w:r>
        <w:rPr>
          <w:rFonts w:cs="Calibri" w:ascii="Times New Roman" w:hAnsi="Times New Roman"/>
          <w:b/>
          <w:color w:val="111111"/>
          <w:sz w:val="24"/>
          <w:szCs w:val="24"/>
        </w:rPr>
        <w:t xml:space="preserve">Članak 2. </w:t>
      </w:r>
    </w:p>
    <w:p>
      <w:pPr>
        <w:pStyle w:val="Normal"/>
        <w:spacing w:before="0" w:after="232"/>
        <w:ind w:hanging="10" w:left="-5" w:right="0"/>
        <w:rPr>
          <w:rFonts w:ascii="Times New Roman" w:hAnsi="Times New Roman"/>
        </w:rPr>
      </w:pPr>
      <w:r>
        <w:rPr>
          <w:rFonts w:cs="Calibri" w:ascii="Times New Roman" w:hAnsi="Times New Roman"/>
          <w:color w:val="111111"/>
          <w:sz w:val="24"/>
          <w:szCs w:val="24"/>
        </w:rPr>
        <w:t xml:space="preserve">Pojmovi koji se koriste u ovoj Odluci o načinu pružanja javne usluge sakupljanja komunalnog otpada na području Općine Marijanci (u daljnjem tekstu: Odluka) definirani su Zakonom o gospodarenju otpadom (u daljnjem tekstu: Zakon) i drugim podzakonskim aktima donesenima na temelju Zakona. Svi pojmovi koji se koriste u ovoj Odluci su rodno neutralni. </w:t>
      </w:r>
    </w:p>
    <w:p>
      <w:pPr>
        <w:pStyle w:val="Normal"/>
        <w:spacing w:lineRule="auto" w:line="247" w:before="0" w:after="27"/>
        <w:ind w:hanging="10" w:left="10" w:right="6"/>
        <w:jc w:val="center"/>
        <w:rPr>
          <w:rFonts w:ascii="Times New Roman" w:hAnsi="Times New Roman"/>
        </w:rPr>
      </w:pPr>
      <w:r>
        <w:rPr>
          <w:rFonts w:cs="Calibri" w:ascii="Times New Roman" w:hAnsi="Times New Roman"/>
          <w:b/>
          <w:color w:val="111111"/>
          <w:sz w:val="24"/>
          <w:szCs w:val="24"/>
        </w:rPr>
        <w:t xml:space="preserve">Članak 3. </w:t>
      </w:r>
    </w:p>
    <w:p>
      <w:pPr>
        <w:pStyle w:val="Normal"/>
        <w:spacing w:before="0" w:after="232"/>
        <w:ind w:hanging="10" w:left="-5" w:right="0"/>
        <w:rPr>
          <w:rFonts w:ascii="Times New Roman" w:hAnsi="Times New Roman"/>
        </w:rPr>
      </w:pPr>
      <w:r>
        <w:rPr>
          <w:rFonts w:cs="Calibri" w:ascii="Times New Roman" w:hAnsi="Times New Roman"/>
          <w:color w:val="111111"/>
          <w:sz w:val="24"/>
          <w:szCs w:val="24"/>
        </w:rPr>
        <w:t xml:space="preserve">Na području Općine Marijanci javnu uslugu pruža DOROSLOV d.o.o. za komunalne djelatnosti, Naselje Tržnica 2A, Donji Miholjac, OIB: 54395174446 (u daljnjem tekstu: davatelj javne usluge). </w:t>
      </w:r>
    </w:p>
    <w:p>
      <w:pPr>
        <w:pStyle w:val="Normal"/>
        <w:spacing w:lineRule="auto" w:line="247" w:before="0" w:after="27"/>
        <w:ind w:hanging="10" w:left="10" w:right="6"/>
        <w:jc w:val="center"/>
        <w:rPr>
          <w:rFonts w:ascii="Times New Roman" w:hAnsi="Times New Roman"/>
        </w:rPr>
      </w:pPr>
      <w:r>
        <w:rPr>
          <w:rFonts w:cs="Calibri" w:ascii="Times New Roman" w:hAnsi="Times New Roman"/>
          <w:b/>
          <w:color w:val="111111"/>
          <w:sz w:val="24"/>
          <w:szCs w:val="24"/>
        </w:rPr>
        <w:t xml:space="preserve">Članak 4. </w:t>
      </w:r>
    </w:p>
    <w:p>
      <w:pPr>
        <w:pStyle w:val="Normal"/>
        <w:numPr>
          <w:ilvl w:val="0"/>
          <w:numId w:val="0"/>
        </w:numPr>
        <w:spacing w:before="0" w:after="153"/>
        <w:ind w:hanging="0" w:left="10" w:right="0"/>
        <w:rPr>
          <w:rFonts w:ascii="Times New Roman" w:hAnsi="Times New Roman"/>
        </w:rPr>
      </w:pPr>
      <w:r>
        <w:rPr>
          <w:rFonts w:cs="Calibri" w:ascii="Times New Roman" w:hAnsi="Times New Roman"/>
          <w:color w:val="111111"/>
          <w:sz w:val="24"/>
          <w:szCs w:val="24"/>
        </w:rPr>
        <w:t xml:space="preserve">(1) Korisnik javne usluge na području pružanja javne usluge je vlasnik nekretnine, odnosno vlasnik posebnog dijela nekretnine i korisnik nekretnine, odnosno posebnog dijela nekretnine kad je vlasnik nekretnine odnosno posebnog dijela nekretnine obvezu plaćanja ugovorom prenio na tog korisnika i o tome obavijestio davatelja javne usluge, ili stvarni korisnik nekretnine.  </w:t>
      </w:r>
    </w:p>
    <w:p>
      <w:pPr>
        <w:pStyle w:val="Normal"/>
        <w:numPr>
          <w:ilvl w:val="0"/>
          <w:numId w:val="0"/>
        </w:numPr>
        <w:spacing w:before="0" w:after="472"/>
        <w:ind w:hanging="0" w:left="10" w:right="0"/>
        <w:rPr>
          <w:rFonts w:ascii="Times New Roman" w:hAnsi="Times New Roman"/>
        </w:rPr>
      </w:pPr>
      <w:r>
        <w:rPr>
          <w:rFonts w:cs="Calibri" w:ascii="Times New Roman" w:hAnsi="Times New Roman"/>
          <w:color w:val="111111"/>
          <w:sz w:val="24"/>
          <w:szCs w:val="24"/>
        </w:rPr>
        <w:t xml:space="preserve">(2) Skupina korisnika javne usluge može, na vlastiti zahtjev i sukladno međusobnom sporazumu, zajednički nastupati prema davatelju javne usluge. </w:t>
      </w:r>
    </w:p>
    <w:p>
      <w:pPr>
        <w:pStyle w:val="Heading2"/>
        <w:ind w:hanging="10" w:left="-5" w:right="0"/>
        <w:rPr>
          <w:rFonts w:ascii="Times New Roman" w:hAnsi="Times New Roman"/>
        </w:rPr>
      </w:pPr>
      <w:r>
        <w:rPr>
          <w:rFonts w:cs="Calibri" w:ascii="Times New Roman" w:hAnsi="Times New Roman"/>
          <w:color w:val="111111"/>
          <w:sz w:val="24"/>
          <w:szCs w:val="24"/>
        </w:rPr>
        <w:t xml:space="preserve"> </w:t>
      </w:r>
      <w:r>
        <w:rPr>
          <w:rFonts w:cs="Calibri" w:ascii="Times New Roman" w:hAnsi="Times New Roman"/>
          <w:color w:val="111111"/>
          <w:sz w:val="24"/>
          <w:szCs w:val="24"/>
        </w:rPr>
        <w:t>Kriteriji obračuna količine miješanog komunalnog otpada i obračunska razdoblja</w:t>
      </w:r>
      <w:r>
        <w:rPr>
          <w:rFonts w:cs="Calibri" w:ascii="Times New Roman" w:hAnsi="Times New Roman"/>
          <w:color w:val="111111"/>
          <w:sz w:val="24"/>
          <w:szCs w:val="24"/>
          <w:u w:val="none"/>
        </w:rPr>
        <w:t xml:space="preserve"> </w:t>
      </w:r>
    </w:p>
    <w:p>
      <w:pPr>
        <w:pStyle w:val="Normal"/>
        <w:spacing w:lineRule="auto" w:line="247" w:before="0" w:after="27"/>
        <w:ind w:hanging="10" w:left="10" w:right="6"/>
        <w:jc w:val="center"/>
        <w:rPr>
          <w:rFonts w:ascii="Times New Roman" w:hAnsi="Times New Roman"/>
        </w:rPr>
      </w:pPr>
      <w:r>
        <w:rPr>
          <w:rFonts w:cs="Calibri" w:ascii="Times New Roman" w:hAnsi="Times New Roman"/>
          <w:b/>
          <w:color w:val="111111"/>
          <w:sz w:val="24"/>
          <w:szCs w:val="24"/>
        </w:rPr>
        <w:t xml:space="preserve">Članak 5. </w:t>
      </w:r>
    </w:p>
    <w:p>
      <w:pPr>
        <w:pStyle w:val="Normal"/>
        <w:numPr>
          <w:ilvl w:val="0"/>
          <w:numId w:val="0"/>
        </w:numPr>
        <w:spacing w:before="0" w:after="112"/>
        <w:ind w:hanging="0" w:left="10" w:right="0"/>
        <w:rPr>
          <w:rFonts w:ascii="Times New Roman" w:hAnsi="Times New Roman"/>
        </w:rPr>
      </w:pPr>
      <w:r>
        <w:rPr>
          <w:rFonts w:cs="Calibri" w:ascii="Times New Roman" w:hAnsi="Times New Roman"/>
          <w:color w:val="111111"/>
          <w:sz w:val="24"/>
          <w:szCs w:val="24"/>
        </w:rPr>
        <w:t xml:space="preserve">(1) Kriterij obračuna količine miješanog komunalnog otpada je volumen spremnika miješanog komunalnog otpada izražen u litrama i broj pražnjenja spremnika u obračunskom razdoblju. </w:t>
      </w:r>
    </w:p>
    <w:p>
      <w:pPr>
        <w:pStyle w:val="Normal"/>
        <w:numPr>
          <w:ilvl w:val="0"/>
          <w:numId w:val="0"/>
        </w:numPr>
        <w:spacing w:before="0" w:after="472"/>
        <w:ind w:hanging="0" w:left="-5" w:right="0"/>
        <w:rPr>
          <w:rFonts w:ascii="Times New Roman" w:hAnsi="Times New Roman"/>
        </w:rPr>
      </w:pPr>
      <w:r>
        <w:rPr>
          <w:rFonts w:cs="Calibri" w:ascii="Times New Roman" w:hAnsi="Times New Roman"/>
          <w:color w:val="111111"/>
          <w:sz w:val="24"/>
          <w:szCs w:val="24"/>
        </w:rPr>
        <w:t xml:space="preserve">(2) Obračunsko razdoblje određuje se u trajanju od mjesec dana, počinje prvoga dana u mjesecu, a završava zadnjega dana u istome mjesecu. Račun se izdaje korisniku javne usluge posljednjeg radnog dana u mjesecu za tekući mjesec. </w:t>
      </w:r>
    </w:p>
    <w:p>
      <w:pPr>
        <w:pStyle w:val="Normal"/>
        <w:spacing w:before="0" w:after="472"/>
        <w:ind w:hanging="0" w:left="-5" w:right="0"/>
        <w:contextualSpacing/>
        <w:rPr>
          <w:rFonts w:ascii="Times New Roman" w:hAnsi="Times New Roman"/>
        </w:rPr>
      </w:pPr>
      <w:r>
        <w:rPr>
          <w:rFonts w:cs="Calibri" w:ascii="Times New Roman" w:hAnsi="Times New Roman"/>
          <w:b/>
          <w:bCs/>
          <w:color w:val="111111"/>
          <w:sz w:val="24"/>
          <w:szCs w:val="24"/>
          <w:u w:val="single"/>
        </w:rPr>
        <w:t xml:space="preserve">Kategorije korisnika javne usluge </w:t>
      </w:r>
    </w:p>
    <w:p>
      <w:pPr>
        <w:pStyle w:val="Normal"/>
        <w:spacing w:lineRule="auto" w:line="240" w:before="0" w:after="472"/>
        <w:ind w:hanging="0" w:left="-5" w:right="0"/>
        <w:contextualSpacing/>
        <w:jc w:val="center"/>
        <w:rPr>
          <w:rFonts w:ascii="Times New Roman" w:hAnsi="Times New Roman"/>
        </w:rPr>
      </w:pPr>
      <w:r>
        <w:rPr>
          <w:rFonts w:cs="Calibri" w:ascii="Times New Roman" w:hAnsi="Times New Roman"/>
          <w:b/>
          <w:color w:val="111111"/>
          <w:sz w:val="24"/>
          <w:szCs w:val="24"/>
        </w:rPr>
        <w:t>Članak 6.</w:t>
      </w:r>
    </w:p>
    <w:p>
      <w:pPr>
        <w:pStyle w:val="Normal"/>
        <w:spacing w:lineRule="auto" w:line="240" w:before="0" w:after="472"/>
        <w:ind w:hanging="0" w:left="-5" w:right="0"/>
        <w:contextualSpacing/>
        <w:jc w:val="center"/>
        <w:rPr>
          <w:rFonts w:ascii="Times New Roman" w:hAnsi="Times New Roman" w:cs="Calibri"/>
          <w:b/>
          <w:bCs/>
          <w:color w:val="111111"/>
          <w:sz w:val="24"/>
          <w:szCs w:val="24"/>
          <w:u w:val="single"/>
        </w:rPr>
      </w:pPr>
      <w:r>
        <w:rPr>
          <w:rFonts w:cs="Calibri" w:ascii="Times New Roman" w:hAnsi="Times New Roman"/>
          <w:b/>
          <w:bCs/>
          <w:color w:val="111111"/>
          <w:sz w:val="24"/>
          <w:szCs w:val="24"/>
          <w:u w:val="single"/>
        </w:rPr>
      </w:r>
    </w:p>
    <w:p>
      <w:pPr>
        <w:pStyle w:val="Normal"/>
        <w:numPr>
          <w:ilvl w:val="0"/>
          <w:numId w:val="2"/>
        </w:numPr>
        <w:spacing w:lineRule="auto" w:line="240" w:before="0" w:after="142"/>
        <w:ind w:hanging="295" w:left="295" w:right="0"/>
        <w:contextualSpacing/>
        <w:rPr>
          <w:rFonts w:ascii="Times New Roman" w:hAnsi="Times New Roman"/>
        </w:rPr>
      </w:pPr>
      <w:r>
        <w:rPr>
          <w:rFonts w:cs="Calibri" w:ascii="Times New Roman" w:hAnsi="Times New Roman"/>
          <w:color w:val="111111"/>
          <w:sz w:val="24"/>
          <w:szCs w:val="24"/>
        </w:rPr>
        <w:t xml:space="preserve">Korisnici javne usluge razvrstavaju se u kategorije korisnika: </w:t>
      </w:r>
    </w:p>
    <w:p>
      <w:pPr>
        <w:pStyle w:val="Normal"/>
        <w:numPr>
          <w:ilvl w:val="1"/>
          <w:numId w:val="2"/>
        </w:numPr>
        <w:spacing w:before="0" w:after="23"/>
        <w:ind w:hanging="360" w:left="712" w:right="0"/>
        <w:contextualSpacing/>
        <w:rPr>
          <w:rFonts w:ascii="Times New Roman" w:hAnsi="Times New Roman"/>
        </w:rPr>
      </w:pPr>
      <w:r>
        <w:rPr>
          <w:rFonts w:cs="Calibri" w:ascii="Times New Roman" w:hAnsi="Times New Roman"/>
          <w:color w:val="111111"/>
          <w:sz w:val="24"/>
          <w:szCs w:val="24"/>
        </w:rPr>
        <w:t xml:space="preserve">kućanstvo (potkategorije: a. obiteljske kuće, b. stambene zgrade)  </w:t>
      </w:r>
    </w:p>
    <w:p>
      <w:pPr>
        <w:pStyle w:val="Normal"/>
        <w:numPr>
          <w:ilvl w:val="1"/>
          <w:numId w:val="2"/>
        </w:numPr>
        <w:spacing w:before="0" w:after="108"/>
        <w:ind w:hanging="360" w:left="712" w:right="0"/>
        <w:rPr>
          <w:rFonts w:ascii="Times New Roman" w:hAnsi="Times New Roman"/>
        </w:rPr>
      </w:pPr>
      <w:r>
        <w:rPr>
          <w:rFonts w:cs="Calibri" w:ascii="Times New Roman" w:hAnsi="Times New Roman"/>
          <w:color w:val="111111"/>
          <w:sz w:val="24"/>
          <w:szCs w:val="24"/>
        </w:rPr>
        <w:t xml:space="preserve">nije kućanstvo (drugi izvori komunalnog otpada). </w:t>
      </w:r>
    </w:p>
    <w:p>
      <w:pPr>
        <w:pStyle w:val="Normal"/>
        <w:numPr>
          <w:ilvl w:val="0"/>
          <w:numId w:val="2"/>
        </w:numPr>
        <w:spacing w:before="0" w:after="112"/>
        <w:ind w:hanging="295" w:left="295" w:right="0"/>
        <w:rPr>
          <w:rFonts w:ascii="Times New Roman" w:hAnsi="Times New Roman"/>
        </w:rPr>
      </w:pPr>
      <w:r>
        <w:rPr>
          <w:rFonts w:cs="Calibri" w:ascii="Times New Roman" w:hAnsi="Times New Roman"/>
          <w:color w:val="111111"/>
          <w:sz w:val="24"/>
          <w:szCs w:val="24"/>
        </w:rPr>
        <w:t xml:space="preserve">Korisnik kućanstvo je korisnik javne usluge koji nekretninu koristi, trajno ili povremeno, u svrhu stanovanja (npr. vlasnici stanova, kuća, nekretnina za odmor). </w:t>
      </w:r>
    </w:p>
    <w:p>
      <w:pPr>
        <w:pStyle w:val="Normal"/>
        <w:numPr>
          <w:ilvl w:val="0"/>
          <w:numId w:val="2"/>
        </w:numPr>
        <w:spacing w:before="0" w:after="112"/>
        <w:ind w:hanging="295" w:left="295" w:right="0"/>
        <w:rPr>
          <w:rFonts w:ascii="Times New Roman" w:hAnsi="Times New Roman"/>
        </w:rPr>
      </w:pPr>
      <w:r>
        <w:rPr>
          <w:rFonts w:cs="Calibri" w:ascii="Times New Roman" w:hAnsi="Times New Roman"/>
          <w:color w:val="111111"/>
          <w:sz w:val="24"/>
          <w:szCs w:val="24"/>
        </w:rPr>
        <w:t>Korisnik koji nije kućanstvo je korisnik javne usluge koji nije razvrstan u kategoriju korisnika kućanstvo, a koji nekretninu koristi u svrhu obavljanja djelatnosti, što uključuje i iznajmljivače koji kao fizičke osobe pružaju ugostiteljske usluge u domaćinstvu sukladno zakonu kojim se uređuje ugostiteljska djelatnost.</w:t>
      </w:r>
    </w:p>
    <w:p>
      <w:pPr>
        <w:pStyle w:val="Normal"/>
        <w:numPr>
          <w:ilvl w:val="0"/>
          <w:numId w:val="2"/>
        </w:numPr>
        <w:spacing w:before="0" w:after="472"/>
        <w:ind w:hanging="295" w:left="295" w:right="0"/>
        <w:rPr>
          <w:rFonts w:ascii="Times New Roman" w:hAnsi="Times New Roman"/>
        </w:rPr>
      </w:pPr>
      <w:r>
        <w:rPr>
          <w:rFonts w:cs="Calibri" w:ascii="Times New Roman" w:hAnsi="Times New Roman"/>
          <w:color w:val="111111"/>
          <w:sz w:val="24"/>
          <w:szCs w:val="24"/>
        </w:rPr>
        <w:t>Ako se na istom obračunskom mjestu korisnik može razvrstati i u kategoriju kućanstvo i u kategoriju korisnika koji nije kućanstvo, korisnik je dužan plaćati samo cijenu minimalne javne usluge obračunatu za kategoriju korisnika koji nije kućanstvo.</w:t>
      </w:r>
    </w:p>
    <w:p>
      <w:pPr>
        <w:pStyle w:val="Heading2"/>
        <w:ind w:hanging="10" w:left="-5" w:right="0"/>
        <w:rPr>
          <w:rFonts w:ascii="Times New Roman" w:hAnsi="Times New Roman"/>
        </w:rPr>
      </w:pPr>
      <w:r>
        <w:rPr>
          <w:rFonts w:cs="Calibri" w:ascii="Times New Roman" w:hAnsi="Times New Roman"/>
          <w:color w:val="111111"/>
          <w:sz w:val="24"/>
          <w:szCs w:val="24"/>
        </w:rPr>
        <w:t>Standardne veličine i druga bitna svojstva spremnika za sakupljanje komunalnog otpada</w:t>
      </w:r>
      <w:r>
        <w:rPr>
          <w:rFonts w:cs="Calibri" w:ascii="Times New Roman" w:hAnsi="Times New Roman"/>
          <w:color w:val="111111"/>
          <w:sz w:val="24"/>
          <w:szCs w:val="24"/>
          <w:u w:val="none"/>
        </w:rPr>
        <w:t xml:space="preserve"> </w:t>
      </w:r>
    </w:p>
    <w:p>
      <w:pPr>
        <w:pStyle w:val="Normal"/>
        <w:spacing w:lineRule="auto" w:line="247" w:before="0" w:after="27"/>
        <w:ind w:hanging="10" w:left="10" w:right="6"/>
        <w:jc w:val="center"/>
        <w:rPr>
          <w:rFonts w:ascii="Times New Roman" w:hAnsi="Times New Roman"/>
        </w:rPr>
      </w:pPr>
      <w:r>
        <w:rPr>
          <w:rFonts w:cs="Calibri" w:ascii="Times New Roman" w:hAnsi="Times New Roman"/>
          <w:b/>
          <w:color w:val="111111"/>
          <w:sz w:val="24"/>
          <w:szCs w:val="24"/>
        </w:rPr>
        <w:t xml:space="preserve">Članak 7. </w:t>
      </w:r>
    </w:p>
    <w:p>
      <w:pPr>
        <w:pStyle w:val="Normal"/>
        <w:numPr>
          <w:ilvl w:val="0"/>
          <w:numId w:val="0"/>
        </w:numPr>
        <w:spacing w:before="0" w:after="112"/>
        <w:ind w:hanging="0" w:left="10" w:right="0"/>
        <w:rPr>
          <w:rFonts w:ascii="Times New Roman" w:hAnsi="Times New Roman"/>
        </w:rPr>
      </w:pPr>
      <w:r>
        <w:rPr>
          <w:rFonts w:cs="Calibri" w:ascii="Times New Roman" w:hAnsi="Times New Roman"/>
          <w:color w:val="111111"/>
          <w:sz w:val="24"/>
          <w:szCs w:val="24"/>
        </w:rPr>
        <w:t xml:space="preserve">(1) Standardne veličine spremnika određuju se kako bi se omogućilo njihovo pražnjenje pomoću specijalnih komunalnih vozila sa sustavima za podizanje spremnika, u skladu s uvjetima zaštite na radu. </w:t>
      </w:r>
    </w:p>
    <w:p>
      <w:pPr>
        <w:pStyle w:val="Normal"/>
        <w:numPr>
          <w:ilvl w:val="0"/>
          <w:numId w:val="0"/>
        </w:numPr>
        <w:spacing w:before="0" w:after="158"/>
        <w:ind w:hanging="0" w:left="10" w:right="0"/>
        <w:rPr>
          <w:rFonts w:ascii="Times New Roman" w:hAnsi="Times New Roman"/>
        </w:rPr>
      </w:pPr>
      <w:r>
        <w:rPr>
          <w:rFonts w:cs="Calibri" w:ascii="Times New Roman" w:hAnsi="Times New Roman"/>
          <w:color w:val="111111"/>
          <w:sz w:val="24"/>
          <w:szCs w:val="24"/>
        </w:rPr>
        <w:t xml:space="preserve">(2) Standardne veličine spremnika za sakupljanje miješanog komunalnog otpada, biootpada i ostalih vrsta otpada u okviru javne usluge na obračunskom mjestu korisnika javne usluge, na području </w:t>
      </w:r>
      <w:r>
        <w:rPr>
          <w:rFonts w:cs="Calibri" w:ascii="Times New Roman" w:hAnsi="Times New Roman"/>
          <w:color w:val="111111"/>
          <w:sz w:val="24"/>
          <w:szCs w:val="24"/>
        </w:rPr>
        <w:t>O</w:t>
      </w:r>
      <w:r>
        <w:rPr>
          <w:rFonts w:cs="Calibri" w:ascii="Times New Roman" w:hAnsi="Times New Roman"/>
          <w:color w:val="111111"/>
          <w:sz w:val="24"/>
          <w:szCs w:val="24"/>
        </w:rPr>
        <w:t xml:space="preserve">pćine Marijanci su su: 80 L, 120 L, 240 L, 1.100 L. Navedeni standardni spremnici koriste se na sljedeći način: </w:t>
      </w:r>
    </w:p>
    <w:p>
      <w:pPr>
        <w:pStyle w:val="Normal"/>
        <w:numPr>
          <w:ilvl w:val="1"/>
          <w:numId w:val="3"/>
        </w:numPr>
        <w:ind w:hanging="360" w:left="720" w:right="0"/>
        <w:rPr>
          <w:rFonts w:ascii="Times New Roman" w:hAnsi="Times New Roman"/>
        </w:rPr>
      </w:pPr>
      <w:r>
        <w:rPr>
          <w:rFonts w:cs="Calibri" w:ascii="Times New Roman" w:hAnsi="Times New Roman"/>
          <w:color w:val="111111"/>
          <w:sz w:val="24"/>
          <w:szCs w:val="24"/>
        </w:rPr>
        <w:t xml:space="preserve">spremnici zapremine 80 L, 120 L i 240 L koriste se za sakupljanje komunalnog otpada kod svih kategorija korisnika; </w:t>
      </w:r>
    </w:p>
    <w:p>
      <w:pPr>
        <w:pStyle w:val="Normal"/>
        <w:numPr>
          <w:ilvl w:val="1"/>
          <w:numId w:val="3"/>
        </w:numPr>
        <w:ind w:hanging="360" w:left="720" w:right="0"/>
        <w:rPr>
          <w:rFonts w:ascii="Times New Roman" w:hAnsi="Times New Roman"/>
        </w:rPr>
      </w:pPr>
      <w:r>
        <w:rPr>
          <w:rFonts w:cs="Calibri" w:ascii="Times New Roman" w:hAnsi="Times New Roman"/>
          <w:color w:val="111111"/>
          <w:sz w:val="24"/>
          <w:szCs w:val="24"/>
        </w:rPr>
        <w:t>spremnici zapremine 1.100 L, 5.000 L i drugi koje davatelj javne usluge može ponuditi korisniku javne usluge, koriste se za sakupljanje komunalnog otpada kod korisnika koji nije kućanstvo, a kod korisnika kategorije kućanstvo samo u slučaju iznimne potrebe, u dogovoru između korisnika javne usluge i davatelja javne usluge i naplatu prema Cjeniku davatelja javne usluge;</w:t>
      </w:r>
    </w:p>
    <w:p>
      <w:pPr>
        <w:pStyle w:val="Normal"/>
        <w:numPr>
          <w:ilvl w:val="1"/>
          <w:numId w:val="3"/>
        </w:numPr>
        <w:spacing w:before="0" w:after="0"/>
        <w:ind w:hanging="360" w:left="720" w:right="0"/>
        <w:rPr>
          <w:rFonts w:ascii="Times New Roman" w:hAnsi="Times New Roman"/>
        </w:rPr>
      </w:pPr>
      <w:r>
        <w:rPr>
          <w:rFonts w:cs="Calibri" w:ascii="Times New Roman" w:hAnsi="Times New Roman"/>
          <w:color w:val="111111"/>
          <w:sz w:val="24"/>
          <w:szCs w:val="24"/>
        </w:rPr>
        <w:t>u okviru javne usluge korisnik može imati najviše jedan spremnik odgovarajuće zapremine za svaku pojedinu vrstu otpada, osim kod korisnika kategorije kućanstvo, po</w:t>
      </w:r>
      <w:r>
        <w:rPr>
          <w:rFonts w:cs="Calibri" w:ascii="Times New Roman" w:hAnsi="Times New Roman"/>
          <w:color w:val="111111"/>
          <w:sz w:val="24"/>
          <w:szCs w:val="24"/>
        </w:rPr>
        <w:t>t</w:t>
      </w:r>
      <w:r>
        <w:rPr>
          <w:rFonts w:cs="Calibri" w:ascii="Times New Roman" w:hAnsi="Times New Roman"/>
          <w:color w:val="111111"/>
          <w:sz w:val="24"/>
          <w:szCs w:val="24"/>
        </w:rPr>
        <w:t>kategorija b. stambene zgrade, ili ako je ugovorom drukčije određeno.</w:t>
      </w:r>
    </w:p>
    <w:p>
      <w:pPr>
        <w:pStyle w:val="Normal"/>
        <w:spacing w:before="0" w:after="112"/>
        <w:ind w:hanging="0" w:left="720" w:right="0"/>
        <w:rPr/>
      </w:pPr>
      <w:r>
        <w:rPr/>
      </w:r>
    </w:p>
    <w:p>
      <w:pPr>
        <w:pStyle w:val="Normal"/>
        <w:numPr>
          <w:ilvl w:val="0"/>
          <w:numId w:val="0"/>
        </w:numPr>
        <w:spacing w:before="0" w:after="232"/>
        <w:ind w:hanging="0" w:left="10" w:right="0"/>
        <w:rPr>
          <w:rFonts w:ascii="Times New Roman" w:hAnsi="Times New Roman"/>
        </w:rPr>
      </w:pPr>
      <w:r>
        <w:rPr>
          <w:rFonts w:cs="Calibri" w:ascii="Times New Roman" w:hAnsi="Times New Roman"/>
          <w:color w:val="111111"/>
          <w:sz w:val="24"/>
          <w:szCs w:val="24"/>
        </w:rPr>
        <w:t xml:space="preserve">(3) Iznimno, osim u navedenim spremnicima, komunalni otpad se može prikupljati i u odgovarajućim vrećicama koje osigurava davatelj javne usluge, ukoliko korisnik javne usluge nema mogućnost smještaja standardnog spremnika u vlastitom prostoru ili ukoliko je količina otpada koju predaje veća od one koja stane u spremnik koji koristi.  </w:t>
      </w:r>
    </w:p>
    <w:p>
      <w:pPr>
        <w:pStyle w:val="Normal"/>
        <w:spacing w:lineRule="auto" w:line="247" w:before="0" w:after="107"/>
        <w:ind w:hanging="10" w:left="10" w:right="6"/>
        <w:jc w:val="center"/>
        <w:rPr>
          <w:rFonts w:ascii="Times New Roman" w:hAnsi="Times New Roman"/>
        </w:rPr>
      </w:pPr>
      <w:r>
        <w:rPr>
          <w:rFonts w:ascii="Times New Roman" w:hAnsi="Times New Roman"/>
        </w:rPr>
      </w:r>
    </w:p>
    <w:p>
      <w:pPr>
        <w:pStyle w:val="Normal"/>
        <w:spacing w:lineRule="auto" w:line="247" w:before="0" w:after="107"/>
        <w:ind w:hanging="10" w:left="10" w:right="6"/>
        <w:jc w:val="center"/>
        <w:rPr>
          <w:rFonts w:ascii="Times New Roman" w:hAnsi="Times New Roman"/>
        </w:rPr>
      </w:pPr>
      <w:r>
        <w:rPr>
          <w:rFonts w:cs="Calibri" w:ascii="Times New Roman" w:hAnsi="Times New Roman"/>
          <w:b/>
          <w:color w:val="111111"/>
          <w:sz w:val="24"/>
          <w:szCs w:val="24"/>
        </w:rPr>
        <w:t xml:space="preserve">Članak 8. </w:t>
      </w:r>
    </w:p>
    <w:p>
      <w:pPr>
        <w:pStyle w:val="Normal"/>
        <w:numPr>
          <w:ilvl w:val="0"/>
          <w:numId w:val="0"/>
        </w:numPr>
        <w:spacing w:before="0" w:after="112"/>
        <w:ind w:hanging="0" w:left="10" w:right="0"/>
        <w:rPr>
          <w:rFonts w:ascii="Times New Roman" w:hAnsi="Times New Roman"/>
        </w:rPr>
      </w:pPr>
      <w:r>
        <w:rPr>
          <w:rFonts w:cs="Calibri" w:ascii="Times New Roman" w:hAnsi="Times New Roman"/>
          <w:color w:val="111111"/>
          <w:sz w:val="24"/>
          <w:szCs w:val="24"/>
        </w:rPr>
        <w:t>(1) Spremnici za sakupljanje otpada moraju biti nepropusni za tekućine, s poklopcem koji mora u potpunosti i vodonepropusno zatvarati otvor za punjenje/pražnjenje spremnika, sprječavati rasipanje otpada i širenje neugodnih mirisa. Spremnici za pojedine vrste komunalnog otpada kod korisnika javne usluge moraju sadržavati natpis s nazivom davatelja javne usluge, oznaku koja je u evidenciji o preuzetom komunalnom otpadu pridružena korisniku javne usluge i obračunskom mjestu te naziv vrste otpada za koju je spremnik namijenjen. Spremnici za određene vrste otpada označavaju se odgovarajućom bojom, bilo da je čitav spremnik obojan u odgovarajuću boju, bilo da je u odgovarajuću boju obojan samo poklopac spremnika, bilo da se na spremniku nalazi naljepnica odgovarajuće boje.</w:t>
      </w:r>
    </w:p>
    <w:p>
      <w:pPr>
        <w:pStyle w:val="Normal"/>
        <w:numPr>
          <w:ilvl w:val="0"/>
          <w:numId w:val="0"/>
        </w:numPr>
        <w:spacing w:before="57" w:after="73"/>
        <w:ind w:hanging="0" w:left="10" w:right="0"/>
        <w:rPr>
          <w:rFonts w:ascii="Times New Roman" w:hAnsi="Times New Roman"/>
        </w:rPr>
      </w:pPr>
      <w:r>
        <w:rPr>
          <w:rFonts w:cs="Calibri" w:ascii="Times New Roman" w:hAnsi="Times New Roman"/>
          <w:color w:val="111111"/>
          <w:sz w:val="24"/>
          <w:szCs w:val="24"/>
        </w:rPr>
        <w:t xml:space="preserve">(2) Boje kojima se uobičajeno označavaju vrste spremnika na području Općine Marijanci jesu: </w:t>
      </w:r>
      <w:r>
        <w:rPr>
          <w:rFonts w:cs="Calibri" w:ascii="Times New Roman" w:hAnsi="Times New Roman"/>
          <w:b/>
          <w:bCs/>
          <w:color w:val="111111"/>
          <w:sz w:val="24"/>
          <w:szCs w:val="24"/>
        </w:rPr>
        <w:t>zelena – spremici za miješani komunalni otpad; smeđa – spremnici za biootpad; plava – spremnici za otpadni papir i karton; žuta – spremnici za otpadnu plastičnu i metalnu ambalažu;</w:t>
      </w:r>
    </w:p>
    <w:p>
      <w:pPr>
        <w:pStyle w:val="Normal"/>
        <w:numPr>
          <w:ilvl w:val="0"/>
          <w:numId w:val="0"/>
        </w:numPr>
        <w:spacing w:before="0" w:after="472"/>
        <w:ind w:hanging="0" w:left="10" w:right="0"/>
        <w:rPr>
          <w:rFonts w:ascii="Times New Roman" w:hAnsi="Times New Roman"/>
        </w:rPr>
      </w:pPr>
      <w:r>
        <w:rPr>
          <w:rFonts w:cs="Calibri" w:ascii="Times New Roman" w:hAnsi="Times New Roman"/>
          <w:color w:val="111111"/>
          <w:sz w:val="24"/>
          <w:szCs w:val="24"/>
        </w:rPr>
        <w:t>(3) Spremnik za komunalni otpad mora imati jedinstvenu oznaku koju je moguće nedvosmisleno povezati s vlasnikom spremnika. Spremnik za miješani komunalni otpad uz prethodno navedenu jedinstvenu oznaku mora biti opremljen i elektroničkim čipom.</w:t>
      </w:r>
    </w:p>
    <w:p>
      <w:pPr>
        <w:pStyle w:val="Heading2"/>
        <w:ind w:hanging="10" w:left="-5" w:right="0"/>
        <w:rPr>
          <w:rFonts w:ascii="Times New Roman" w:hAnsi="Times New Roman"/>
        </w:rPr>
      </w:pPr>
      <w:r>
        <w:rPr>
          <w:rFonts w:cs="Calibri" w:ascii="Times New Roman" w:hAnsi="Times New Roman"/>
          <w:color w:val="111111"/>
          <w:sz w:val="24"/>
          <w:szCs w:val="24"/>
        </w:rPr>
        <w:t>Najmanja učestalost odvoza otpada prema područjima</w:t>
      </w:r>
      <w:r>
        <w:rPr>
          <w:rFonts w:cs="Calibri" w:ascii="Times New Roman" w:hAnsi="Times New Roman"/>
          <w:color w:val="111111"/>
          <w:sz w:val="24"/>
          <w:szCs w:val="24"/>
          <w:u w:val="none"/>
        </w:rPr>
        <w:t xml:space="preserve"> </w:t>
      </w:r>
    </w:p>
    <w:p>
      <w:pPr>
        <w:pStyle w:val="Normal"/>
        <w:spacing w:lineRule="auto" w:line="247" w:before="0" w:after="27"/>
        <w:ind w:hanging="10" w:left="10" w:right="6"/>
        <w:jc w:val="center"/>
        <w:rPr>
          <w:rFonts w:ascii="Times New Roman" w:hAnsi="Times New Roman"/>
        </w:rPr>
      </w:pPr>
      <w:r>
        <w:rPr>
          <w:rFonts w:cs="Calibri" w:ascii="Times New Roman" w:hAnsi="Times New Roman"/>
          <w:b/>
          <w:color w:val="111111"/>
          <w:sz w:val="24"/>
          <w:szCs w:val="24"/>
        </w:rPr>
        <w:t xml:space="preserve">Članak 9. </w:t>
      </w:r>
    </w:p>
    <w:p>
      <w:pPr>
        <w:pStyle w:val="Normal"/>
        <w:numPr>
          <w:ilvl w:val="0"/>
          <w:numId w:val="0"/>
        </w:numPr>
        <w:spacing w:before="0" w:after="156"/>
        <w:ind w:hanging="0" w:left="10" w:right="0"/>
        <w:rPr>
          <w:rFonts w:ascii="Times New Roman" w:hAnsi="Times New Roman"/>
        </w:rPr>
      </w:pPr>
      <w:r>
        <w:rPr>
          <w:rFonts w:cs="Calibri" w:ascii="Times New Roman" w:hAnsi="Times New Roman"/>
          <w:color w:val="111111"/>
          <w:sz w:val="24"/>
          <w:szCs w:val="24"/>
        </w:rPr>
        <w:t xml:space="preserve">(1) Davatelj javne usluge dužan je omogućiti korisniku javne usluge primopredaju komunalnog otpada na obračunskom mjestu korisnika:  </w:t>
      </w:r>
    </w:p>
    <w:p>
      <w:pPr>
        <w:pStyle w:val="Normal"/>
        <w:numPr>
          <w:ilvl w:val="1"/>
          <w:numId w:val="4"/>
        </w:numPr>
        <w:ind w:hanging="360" w:left="708" w:right="0"/>
        <w:rPr>
          <w:rFonts w:ascii="Times New Roman" w:hAnsi="Times New Roman"/>
        </w:rPr>
      </w:pPr>
      <w:r>
        <w:rPr>
          <w:rFonts w:cs="Calibri" w:ascii="Times New Roman" w:hAnsi="Times New Roman"/>
          <w:color w:val="111111"/>
          <w:sz w:val="24"/>
          <w:szCs w:val="24"/>
        </w:rPr>
        <w:t xml:space="preserve">miješanog komunalnog otpada najmanje jednom u dva tjedna; </w:t>
      </w:r>
    </w:p>
    <w:p>
      <w:pPr>
        <w:pStyle w:val="Normal"/>
        <w:numPr>
          <w:ilvl w:val="1"/>
          <w:numId w:val="4"/>
        </w:numPr>
        <w:ind w:hanging="360" w:left="708" w:right="0"/>
        <w:rPr>
          <w:rFonts w:ascii="Times New Roman" w:hAnsi="Times New Roman"/>
        </w:rPr>
      </w:pPr>
      <w:r>
        <w:rPr>
          <w:rFonts w:cs="Calibri" w:ascii="Times New Roman" w:hAnsi="Times New Roman"/>
          <w:color w:val="111111"/>
          <w:sz w:val="24"/>
          <w:szCs w:val="24"/>
        </w:rPr>
        <w:t xml:space="preserve">biootpada najmanje jednom tjedno; </w:t>
      </w:r>
    </w:p>
    <w:p>
      <w:pPr>
        <w:pStyle w:val="Normal"/>
        <w:numPr>
          <w:ilvl w:val="1"/>
          <w:numId w:val="4"/>
        </w:numPr>
        <w:ind w:hanging="360" w:left="708" w:right="0"/>
        <w:rPr>
          <w:rFonts w:ascii="Times New Roman" w:hAnsi="Times New Roman"/>
        </w:rPr>
      </w:pPr>
      <w:r>
        <w:rPr>
          <w:rFonts w:cs="Calibri" w:ascii="Times New Roman" w:hAnsi="Times New Roman"/>
          <w:color w:val="111111"/>
          <w:sz w:val="24"/>
          <w:szCs w:val="24"/>
        </w:rPr>
        <w:t>ambalažnog otpada (plastična i metalna ambalaža) najmanje jednom u tijeku obračunskog razdoblja (jednom mjesečno);</w:t>
      </w:r>
    </w:p>
    <w:p>
      <w:pPr>
        <w:pStyle w:val="Normal"/>
        <w:numPr>
          <w:ilvl w:val="1"/>
          <w:numId w:val="4"/>
        </w:numPr>
        <w:ind w:hanging="360" w:left="708" w:right="0"/>
        <w:rPr>
          <w:rFonts w:ascii="Times New Roman" w:hAnsi="Times New Roman"/>
        </w:rPr>
      </w:pPr>
      <w:r>
        <w:rPr>
          <w:rFonts w:cs="Calibri" w:ascii="Times New Roman" w:hAnsi="Times New Roman"/>
          <w:color w:val="111111"/>
          <w:sz w:val="24"/>
          <w:szCs w:val="24"/>
        </w:rPr>
        <w:t>otpadnog papira i kartona najmanje jednom u tijeku obračunskog razdoblja;</w:t>
      </w:r>
    </w:p>
    <w:p>
      <w:pPr>
        <w:pStyle w:val="Normal"/>
        <w:numPr>
          <w:ilvl w:val="1"/>
          <w:numId w:val="4"/>
        </w:numPr>
        <w:spacing w:before="0" w:after="153"/>
        <w:ind w:hanging="360" w:left="708" w:right="0"/>
        <w:rPr>
          <w:rFonts w:ascii="Times New Roman" w:hAnsi="Times New Roman"/>
        </w:rPr>
      </w:pPr>
      <w:r>
        <w:rPr>
          <w:rFonts w:cs="Calibri" w:ascii="Times New Roman" w:hAnsi="Times New Roman"/>
          <w:color w:val="111111"/>
          <w:sz w:val="24"/>
          <w:szCs w:val="24"/>
        </w:rPr>
        <w:t>ambalažnog stakla najmanje jednom u tijeku obračunskog razdoblja.</w:t>
      </w:r>
    </w:p>
    <w:p>
      <w:pPr>
        <w:pStyle w:val="Normal"/>
        <w:numPr>
          <w:ilvl w:val="0"/>
          <w:numId w:val="0"/>
        </w:numPr>
        <w:spacing w:before="0" w:after="472"/>
        <w:ind w:hanging="0" w:left="-5" w:right="0"/>
        <w:rPr>
          <w:rFonts w:ascii="Times New Roman" w:hAnsi="Times New Roman"/>
        </w:rPr>
      </w:pPr>
      <w:r>
        <w:rPr>
          <w:rFonts w:cs="Calibri" w:ascii="Times New Roman" w:hAnsi="Times New Roman"/>
          <w:color w:val="111111"/>
          <w:sz w:val="24"/>
          <w:szCs w:val="24"/>
        </w:rPr>
        <w:t xml:space="preserve">(2) Plan s danima i okvirnim vremenom primopredaje komunalnog otpada prema područjima, kategorijama korisnika i vrstama otpada sastavni je dio obavijesti o odvozu komunalnog otpada iz članka 17. stavak 2. ove Odluke. </w:t>
      </w:r>
    </w:p>
    <w:p>
      <w:pPr>
        <w:pStyle w:val="Normal"/>
        <w:spacing w:before="0" w:after="472"/>
        <w:ind w:hanging="0" w:left="-15" w:right="0"/>
        <w:rPr>
          <w:rFonts w:ascii="Times New Roman" w:hAnsi="Times New Roman"/>
        </w:rPr>
      </w:pPr>
      <w:r>
        <w:rPr>
          <w:rFonts w:cs="Calibri" w:ascii="Times New Roman" w:hAnsi="Times New Roman"/>
          <w:b/>
          <w:bCs/>
          <w:color w:val="111111"/>
          <w:sz w:val="24"/>
          <w:szCs w:val="24"/>
          <w:u w:val="single"/>
        </w:rPr>
        <w:t xml:space="preserve">Područja pružanja javne usluge </w:t>
      </w:r>
    </w:p>
    <w:p>
      <w:pPr>
        <w:pStyle w:val="Normal"/>
        <w:spacing w:lineRule="auto" w:line="247" w:before="0" w:after="27"/>
        <w:ind w:hanging="10" w:left="10" w:right="4"/>
        <w:jc w:val="center"/>
        <w:rPr>
          <w:rFonts w:ascii="Times New Roman" w:hAnsi="Times New Roman"/>
        </w:rPr>
      </w:pPr>
      <w:r>
        <w:rPr>
          <w:rFonts w:cs="Calibri" w:ascii="Times New Roman" w:hAnsi="Times New Roman"/>
          <w:b/>
          <w:color w:val="111111"/>
          <w:sz w:val="24"/>
          <w:szCs w:val="24"/>
        </w:rPr>
        <w:t xml:space="preserve">Članak 10. </w:t>
      </w:r>
    </w:p>
    <w:p>
      <w:pPr>
        <w:pStyle w:val="Normal"/>
        <w:spacing w:before="0" w:after="472"/>
        <w:ind w:hanging="10" w:left="-5" w:right="0"/>
        <w:jc w:val="left"/>
        <w:rPr>
          <w:rFonts w:ascii="Times New Roman" w:hAnsi="Times New Roman"/>
        </w:rPr>
      </w:pPr>
      <w:r>
        <w:rPr>
          <w:rFonts w:cs="Calibri" w:ascii="Times New Roman" w:hAnsi="Times New Roman"/>
          <w:color w:val="111111"/>
          <w:sz w:val="24"/>
          <w:szCs w:val="24"/>
        </w:rPr>
        <w:t>Davatelj javne usluge iz članka 3. ove Odluke dužan je javnu uslugu pružati na čitavom administrativnom području Općine Marijanci.</w:t>
      </w:r>
    </w:p>
    <w:p>
      <w:pPr>
        <w:pStyle w:val="Normal"/>
        <w:spacing w:before="0" w:after="472"/>
        <w:ind w:hanging="10" w:left="-5" w:right="0"/>
        <w:jc w:val="left"/>
        <w:rPr>
          <w:rFonts w:ascii="Times New Roman" w:hAnsi="Times New Roman"/>
          <w:b/>
          <w:bCs/>
          <w:sz w:val="24"/>
          <w:szCs w:val="24"/>
          <w:u w:val="single"/>
        </w:rPr>
      </w:pPr>
      <w:r>
        <w:rPr>
          <w:rFonts w:ascii="Times New Roman" w:hAnsi="Times New Roman"/>
          <w:b/>
          <w:bCs/>
          <w:sz w:val="24"/>
          <w:szCs w:val="24"/>
          <w:u w:val="single"/>
        </w:rPr>
        <w:t>Popis reciklažnih dvorišta na području Općine Marijanci i način njihovog korištenja</w:t>
      </w:r>
    </w:p>
    <w:p>
      <w:pPr>
        <w:pStyle w:val="Normal"/>
        <w:spacing w:before="0" w:after="0"/>
        <w:ind w:hanging="10" w:left="-5" w:right="0"/>
        <w:jc w:val="center"/>
        <w:rPr>
          <w:rFonts w:ascii="Times New Roman" w:hAnsi="Times New Roman"/>
          <w:b/>
          <w:bCs/>
          <w:sz w:val="24"/>
          <w:szCs w:val="24"/>
          <w:u w:val="none"/>
        </w:rPr>
      </w:pPr>
      <w:r>
        <w:rPr>
          <w:rFonts w:ascii="Times New Roman" w:hAnsi="Times New Roman"/>
          <w:b/>
          <w:bCs/>
          <w:sz w:val="24"/>
          <w:szCs w:val="24"/>
          <w:u w:val="none"/>
        </w:rPr>
        <w:t>Članak 11.</w:t>
      </w:r>
    </w:p>
    <w:p>
      <w:pPr>
        <w:pStyle w:val="Normal"/>
        <w:numPr>
          <w:ilvl w:val="0"/>
          <w:numId w:val="0"/>
        </w:numPr>
        <w:spacing w:before="0" w:after="16"/>
        <w:ind w:hanging="0" w:left="-5" w:right="0"/>
        <w:jc w:val="left"/>
        <w:rPr>
          <w:rFonts w:ascii="Times New Roman" w:hAnsi="Times New Roman"/>
          <w:b w:val="false"/>
          <w:bCs w:val="false"/>
          <w:sz w:val="24"/>
          <w:szCs w:val="24"/>
          <w:u w:val="none"/>
        </w:rPr>
      </w:pPr>
      <w:r>
        <w:rPr>
          <w:rFonts w:ascii="Times New Roman" w:hAnsi="Times New Roman"/>
          <w:b w:val="false"/>
          <w:bCs w:val="false"/>
          <w:sz w:val="24"/>
          <w:szCs w:val="24"/>
          <w:u w:val="none"/>
        </w:rPr>
        <w:t>(1) Reciklažna dvorišta na području Općine Marijanci jesu:</w:t>
      </w:r>
    </w:p>
    <w:p>
      <w:pPr>
        <w:pStyle w:val="Normal"/>
        <w:numPr>
          <w:ilvl w:val="0"/>
          <w:numId w:val="10"/>
        </w:numPr>
        <w:spacing w:before="0" w:after="0"/>
        <w:ind w:hanging="360" w:left="730" w:right="0"/>
        <w:jc w:val="left"/>
        <w:rPr>
          <w:rFonts w:ascii="Times New Roman" w:hAnsi="Times New Roman"/>
          <w:b w:val="false"/>
          <w:bCs w:val="false"/>
          <w:sz w:val="24"/>
          <w:szCs w:val="24"/>
          <w:u w:val="none"/>
        </w:rPr>
      </w:pPr>
      <w:r>
        <w:rPr>
          <w:rFonts w:ascii="Times New Roman" w:hAnsi="Times New Roman"/>
          <w:b w:val="false"/>
          <w:bCs w:val="false"/>
          <w:sz w:val="24"/>
          <w:szCs w:val="24"/>
          <w:u w:val="none"/>
        </w:rPr>
        <w:t>Reciklažno dvorište u Kunišincima, Sv. Marka 40, Kunišinci;</w:t>
      </w:r>
    </w:p>
    <w:p>
      <w:pPr>
        <w:pStyle w:val="Normal"/>
        <w:numPr>
          <w:ilvl w:val="0"/>
          <w:numId w:val="10"/>
        </w:numPr>
        <w:spacing w:before="0" w:after="301"/>
        <w:ind w:hanging="360" w:left="730" w:right="0"/>
        <w:jc w:val="left"/>
        <w:rPr>
          <w:rFonts w:ascii="Times New Roman" w:hAnsi="Times New Roman"/>
          <w:b w:val="false"/>
          <w:bCs w:val="false"/>
          <w:sz w:val="24"/>
          <w:szCs w:val="24"/>
          <w:u w:val="none"/>
        </w:rPr>
      </w:pPr>
      <w:r>
        <w:rPr>
          <w:rFonts w:ascii="Times New Roman" w:hAnsi="Times New Roman"/>
          <w:b w:val="false"/>
          <w:bCs w:val="false"/>
          <w:sz w:val="24"/>
          <w:szCs w:val="24"/>
          <w:u w:val="none"/>
        </w:rPr>
        <w:t>Mobilno reciklažno dvorište u vlasništvu trgovačkog društva Doroslov d.o.o.</w:t>
      </w:r>
    </w:p>
    <w:p>
      <w:pPr>
        <w:pStyle w:val="Normal"/>
        <w:spacing w:before="57" w:after="130"/>
        <w:jc w:val="left"/>
        <w:rPr>
          <w:rFonts w:ascii="Times New Roman" w:hAnsi="Times New Roman"/>
          <w:b w:val="false"/>
          <w:bCs w:val="false"/>
          <w:sz w:val="24"/>
          <w:szCs w:val="24"/>
          <w:u w:val="none"/>
        </w:rPr>
      </w:pPr>
      <w:r>
        <w:rPr>
          <w:rFonts w:ascii="Times New Roman" w:hAnsi="Times New Roman"/>
          <w:b w:val="false"/>
          <w:bCs w:val="false"/>
          <w:sz w:val="24"/>
          <w:szCs w:val="24"/>
          <w:u w:val="none"/>
        </w:rPr>
        <w:t>(2) U svim reciklažnim dvorištima dozvoljeno je odlaganje, bez naknade za korisnike javne usluge kategorije kućanstvo s područja Općine Marijanci, onih količina i vrsta komunalnog otpada koje odgovaraju količinama i vrstama komunalnog otpada nastalima u kućanstvu fizičkih osoba. Korisnicima javne usluge na području Općine Marijanci koji spadaju u kategoriju kućanstvo ali predaju otpad u količini većoj od količine koja odgovara količini otpada nastaloj u kućanstvu fizičkih osoba, usluga korištenja reciklažnog dvorišta naplatit će se sukladno cjeniku pravne osobe koja upravlja reciklažnim dvorištem</w:t>
      </w:r>
    </w:p>
    <w:p>
      <w:pPr>
        <w:pStyle w:val="Normal"/>
        <w:spacing w:before="57" w:after="130"/>
        <w:jc w:val="left"/>
        <w:rPr>
          <w:rFonts w:ascii="Times New Roman" w:hAnsi="Times New Roman"/>
          <w:b w:val="false"/>
          <w:bCs w:val="false"/>
          <w:sz w:val="24"/>
          <w:szCs w:val="24"/>
          <w:u w:val="none"/>
        </w:rPr>
      </w:pPr>
      <w:r>
        <w:rPr>
          <w:rFonts w:ascii="Times New Roman" w:hAnsi="Times New Roman"/>
          <w:b w:val="false"/>
          <w:bCs w:val="false"/>
          <w:sz w:val="24"/>
          <w:szCs w:val="24"/>
          <w:u w:val="none"/>
        </w:rPr>
        <w:t>(3) U reciklažnim dvorištima nije dozvoljeno odlaganje proizvodnog otpada.</w:t>
      </w:r>
    </w:p>
    <w:p>
      <w:pPr>
        <w:pStyle w:val="Normal"/>
        <w:spacing w:before="0" w:after="16"/>
        <w:jc w:val="left"/>
        <w:rPr>
          <w:rFonts w:ascii="Times New Roman" w:hAnsi="Times New Roman"/>
          <w:b w:val="false"/>
          <w:bCs w:val="false"/>
          <w:sz w:val="24"/>
          <w:szCs w:val="24"/>
          <w:u w:val="none"/>
        </w:rPr>
      </w:pPr>
      <w:r>
        <w:rPr>
          <w:rFonts w:ascii="Times New Roman" w:hAnsi="Times New Roman"/>
          <w:b w:val="false"/>
          <w:bCs w:val="false"/>
          <w:sz w:val="24"/>
          <w:szCs w:val="24"/>
          <w:u w:val="none"/>
        </w:rPr>
        <w:t>(4) Količine određenih vrsta komunalnog otpada koje nastaju u kućanstvu fizičkih osoba, a koje se mogu bez naknade predati u reciklažno dvorište unutar jednog obračunskog razdoblja, određuju se kako slijedi:</w:t>
      </w:r>
    </w:p>
    <w:p>
      <w:pPr>
        <w:pStyle w:val="Normal"/>
        <w:numPr>
          <w:ilvl w:val="0"/>
          <w:numId w:val="11"/>
        </w:numPr>
        <w:spacing w:before="0" w:after="0"/>
        <w:ind w:hanging="360" w:left="720" w:right="0"/>
        <w:jc w:val="left"/>
        <w:rPr>
          <w:rFonts w:ascii="Times New Roman" w:hAnsi="Times New Roman"/>
          <w:b w:val="false"/>
          <w:bCs w:val="false"/>
          <w:sz w:val="24"/>
          <w:szCs w:val="24"/>
          <w:u w:val="none"/>
        </w:rPr>
      </w:pPr>
      <w:r>
        <w:rPr>
          <w:rFonts w:ascii="Times New Roman" w:hAnsi="Times New Roman"/>
          <w:b w:val="false"/>
          <w:bCs w:val="false"/>
          <w:sz w:val="24"/>
          <w:szCs w:val="24"/>
          <w:u w:val="none"/>
        </w:rPr>
        <w:t>građevni otpad, osim građevne stolarije – do 200 kg;</w:t>
      </w:r>
    </w:p>
    <w:p>
      <w:pPr>
        <w:pStyle w:val="Normal"/>
        <w:numPr>
          <w:ilvl w:val="0"/>
          <w:numId w:val="11"/>
        </w:numPr>
        <w:spacing w:before="0" w:after="0"/>
        <w:ind w:hanging="360" w:left="720" w:right="0"/>
        <w:jc w:val="left"/>
        <w:rPr>
          <w:rFonts w:ascii="Times New Roman" w:hAnsi="Times New Roman"/>
          <w:b w:val="false"/>
          <w:bCs w:val="false"/>
          <w:sz w:val="24"/>
          <w:szCs w:val="24"/>
          <w:u w:val="none"/>
        </w:rPr>
      </w:pPr>
      <w:r>
        <w:rPr>
          <w:rFonts w:ascii="Times New Roman" w:hAnsi="Times New Roman"/>
          <w:b w:val="false"/>
          <w:bCs w:val="false"/>
          <w:sz w:val="24"/>
          <w:szCs w:val="24"/>
          <w:u w:val="none"/>
        </w:rPr>
        <w:t>građevini otpad koji sadrži azbest – do 200 kg;</w:t>
      </w:r>
    </w:p>
    <w:p>
      <w:pPr>
        <w:pStyle w:val="Normal"/>
        <w:numPr>
          <w:ilvl w:val="0"/>
          <w:numId w:val="11"/>
        </w:numPr>
        <w:spacing w:before="0" w:after="0"/>
        <w:ind w:hanging="360" w:left="720" w:right="0"/>
        <w:jc w:val="left"/>
        <w:rPr>
          <w:rFonts w:ascii="Times New Roman" w:hAnsi="Times New Roman"/>
          <w:b w:val="false"/>
          <w:bCs w:val="false"/>
          <w:sz w:val="24"/>
          <w:szCs w:val="24"/>
          <w:u w:val="none"/>
        </w:rPr>
      </w:pPr>
      <w:r>
        <w:rPr>
          <w:rFonts w:ascii="Times New Roman" w:hAnsi="Times New Roman"/>
          <w:b w:val="false"/>
          <w:bCs w:val="false"/>
          <w:sz w:val="24"/>
          <w:szCs w:val="24"/>
          <w:u w:val="none"/>
        </w:rPr>
        <w:t>problematični otpad iz kućanstva, uključujući otpadne tonere, oštre predmete i dr., osim otpadnih baterija i akumulatora – do 10 kg;</w:t>
      </w:r>
    </w:p>
    <w:p>
      <w:pPr>
        <w:pStyle w:val="Normal"/>
        <w:numPr>
          <w:ilvl w:val="0"/>
          <w:numId w:val="11"/>
        </w:numPr>
        <w:spacing w:before="0" w:after="0"/>
        <w:ind w:hanging="360" w:left="720" w:right="0"/>
        <w:jc w:val="left"/>
        <w:rPr>
          <w:rFonts w:ascii="Times New Roman" w:hAnsi="Times New Roman"/>
          <w:b w:val="false"/>
          <w:bCs w:val="false"/>
          <w:sz w:val="24"/>
          <w:szCs w:val="24"/>
          <w:u w:val="none"/>
        </w:rPr>
      </w:pPr>
      <w:r>
        <w:rPr>
          <w:rFonts w:ascii="Times New Roman" w:hAnsi="Times New Roman"/>
          <w:b w:val="false"/>
          <w:bCs w:val="false"/>
          <w:sz w:val="24"/>
          <w:szCs w:val="24"/>
          <w:u w:val="none"/>
        </w:rPr>
        <w:t>otpadna plastična ambalaža i ostala plastika, osim PET ambalaže – do 20 kg;</w:t>
      </w:r>
    </w:p>
    <w:p>
      <w:pPr>
        <w:pStyle w:val="Normal"/>
        <w:numPr>
          <w:ilvl w:val="0"/>
          <w:numId w:val="11"/>
        </w:numPr>
        <w:spacing w:before="0" w:after="0"/>
        <w:ind w:hanging="360" w:left="720" w:right="0"/>
        <w:jc w:val="left"/>
        <w:rPr>
          <w:rFonts w:ascii="Times New Roman" w:hAnsi="Times New Roman"/>
          <w:b w:val="false"/>
          <w:bCs w:val="false"/>
          <w:sz w:val="24"/>
          <w:szCs w:val="24"/>
          <w:u w:val="none"/>
        </w:rPr>
      </w:pPr>
      <w:r>
        <w:rPr>
          <w:rFonts w:ascii="Times New Roman" w:hAnsi="Times New Roman"/>
          <w:b w:val="false"/>
          <w:bCs w:val="false"/>
          <w:sz w:val="24"/>
          <w:szCs w:val="24"/>
          <w:u w:val="none"/>
        </w:rPr>
        <w:t>otpadno ravno staklo – do 50 kg;</w:t>
      </w:r>
    </w:p>
    <w:p>
      <w:pPr>
        <w:pStyle w:val="Normal"/>
        <w:numPr>
          <w:ilvl w:val="0"/>
          <w:numId w:val="11"/>
        </w:numPr>
        <w:spacing w:before="0" w:after="0"/>
        <w:ind w:hanging="360" w:left="720" w:right="0"/>
        <w:jc w:val="left"/>
        <w:rPr>
          <w:rFonts w:ascii="Times New Roman" w:hAnsi="Times New Roman"/>
          <w:b w:val="false"/>
          <w:bCs w:val="false"/>
          <w:sz w:val="24"/>
          <w:szCs w:val="24"/>
          <w:u w:val="none"/>
        </w:rPr>
      </w:pPr>
      <w:r>
        <w:rPr>
          <w:rFonts w:ascii="Times New Roman" w:hAnsi="Times New Roman"/>
          <w:b w:val="false"/>
          <w:bCs w:val="false"/>
          <w:sz w:val="24"/>
          <w:szCs w:val="24"/>
          <w:u w:val="none"/>
        </w:rPr>
        <w:t>otpadno drvo tretirano zaštitnim premazima i građevna stolarija/bravarija – do 100 kg;</w:t>
      </w:r>
    </w:p>
    <w:p>
      <w:pPr>
        <w:pStyle w:val="Normal"/>
        <w:numPr>
          <w:ilvl w:val="0"/>
          <w:numId w:val="11"/>
        </w:numPr>
        <w:spacing w:before="0" w:after="0"/>
        <w:ind w:hanging="360" w:left="720" w:right="0"/>
        <w:jc w:val="left"/>
        <w:rPr>
          <w:rFonts w:ascii="Times New Roman" w:hAnsi="Times New Roman"/>
          <w:b w:val="false"/>
          <w:bCs w:val="false"/>
          <w:sz w:val="24"/>
          <w:szCs w:val="24"/>
          <w:u w:val="none"/>
        </w:rPr>
      </w:pPr>
      <w:r>
        <w:rPr>
          <w:rFonts w:ascii="Times New Roman" w:hAnsi="Times New Roman"/>
          <w:b w:val="false"/>
          <w:bCs w:val="false"/>
          <w:sz w:val="24"/>
          <w:szCs w:val="24"/>
          <w:u w:val="none"/>
        </w:rPr>
        <w:t>otpadni električni i elektronički uređaji – do 50 kg;</w:t>
      </w:r>
    </w:p>
    <w:p>
      <w:pPr>
        <w:pStyle w:val="Normal"/>
        <w:numPr>
          <w:ilvl w:val="0"/>
          <w:numId w:val="11"/>
        </w:numPr>
        <w:spacing w:before="0" w:after="0"/>
        <w:ind w:hanging="360" w:left="720" w:right="0"/>
        <w:jc w:val="left"/>
        <w:rPr>
          <w:rFonts w:ascii="Times New Roman" w:hAnsi="Times New Roman"/>
          <w:b w:val="false"/>
          <w:bCs w:val="false"/>
          <w:sz w:val="24"/>
          <w:szCs w:val="24"/>
          <w:u w:val="none"/>
        </w:rPr>
      </w:pPr>
      <w:r>
        <w:rPr>
          <w:rFonts w:ascii="Times New Roman" w:hAnsi="Times New Roman"/>
          <w:b w:val="false"/>
          <w:bCs w:val="false"/>
          <w:sz w:val="24"/>
          <w:szCs w:val="24"/>
          <w:u w:val="none"/>
        </w:rPr>
        <w:t>otpadne gume – do 4 komada</w:t>
      </w:r>
    </w:p>
    <w:p>
      <w:pPr>
        <w:pStyle w:val="Normal"/>
        <w:numPr>
          <w:ilvl w:val="0"/>
          <w:numId w:val="11"/>
        </w:numPr>
        <w:spacing w:before="0" w:after="16"/>
        <w:ind w:hanging="360" w:left="720" w:right="0"/>
        <w:jc w:val="left"/>
        <w:rPr>
          <w:rFonts w:ascii="Times New Roman" w:hAnsi="Times New Roman"/>
          <w:b w:val="false"/>
          <w:bCs w:val="false"/>
          <w:sz w:val="24"/>
          <w:szCs w:val="24"/>
          <w:u w:val="none"/>
        </w:rPr>
      </w:pPr>
      <w:r>
        <w:rPr>
          <w:rFonts w:ascii="Times New Roman" w:hAnsi="Times New Roman"/>
          <w:b w:val="false"/>
          <w:bCs w:val="false"/>
          <w:sz w:val="24"/>
          <w:szCs w:val="24"/>
          <w:u w:val="none"/>
        </w:rPr>
        <w:t>ostatci boja, lakova, detergenata, lijekova i sličan otpad koji ne spada u kategoriju problematičnog ili opasnog otpada – do 10 kg.</w:t>
      </w:r>
    </w:p>
    <w:p>
      <w:pPr>
        <w:pStyle w:val="Normal"/>
        <w:spacing w:before="171" w:after="171"/>
        <w:jc w:val="left"/>
        <w:rPr>
          <w:rFonts w:ascii="Times New Roman" w:hAnsi="Times New Roman"/>
          <w:b w:val="false"/>
          <w:bCs w:val="false"/>
          <w:sz w:val="24"/>
          <w:szCs w:val="24"/>
          <w:u w:val="none"/>
        </w:rPr>
      </w:pPr>
      <w:r>
        <w:rPr>
          <w:rFonts w:ascii="Times New Roman" w:hAnsi="Times New Roman"/>
          <w:b w:val="false"/>
          <w:bCs w:val="false"/>
          <w:sz w:val="24"/>
          <w:szCs w:val="24"/>
          <w:u w:val="none"/>
        </w:rPr>
        <w:t>(5) Upravitelj reciklažnog dvorišta ovlašten je uspostaviti sustav trgovanja otpadom koji se može oporabiti, odnosno donositelju otpada može isplatiti naknadu sukladno cjeniku. Za otkupljeni otpad, kao i za naplatu usluge korištenja reciklažnog dvorišta, upravitelj reciklažnog dvorišta dužan je na licu mjesta korisniku izdati odgovarajući fiskalni račun.</w:t>
      </w:r>
    </w:p>
    <w:p>
      <w:pPr>
        <w:pStyle w:val="Normal"/>
        <w:spacing w:before="114" w:after="114"/>
        <w:jc w:val="left"/>
        <w:rPr>
          <w:rFonts w:ascii="Times New Roman" w:hAnsi="Times New Roman"/>
          <w:b w:val="false"/>
          <w:bCs w:val="false"/>
          <w:sz w:val="24"/>
          <w:szCs w:val="24"/>
          <w:u w:val="none"/>
        </w:rPr>
      </w:pPr>
      <w:r>
        <w:rPr>
          <w:rFonts w:ascii="Times New Roman" w:hAnsi="Times New Roman"/>
          <w:b w:val="false"/>
          <w:bCs w:val="false"/>
          <w:sz w:val="24"/>
          <w:szCs w:val="24"/>
          <w:u w:val="none"/>
        </w:rPr>
        <w:t>(6) Prilikom korištenja usluga reciklažnog dvorišta, korisnik javne usluge dužan je identificirati se osobnom ispravom i/ili originalnim računom davatelja javne usluge, kako bi se omogućilo evidentiranje korištenja reciklažnog dvorišta te predanih količina i vrsta otpada. Ako se korisnik ne identificira na opisani način, neće se smatrati korisnikom javne usluge, a korištenje reciklažnog dvorišta naplatit će mu se sukladno cjeniku osobe koja upravlja reciklažnim dvorištem.</w:t>
      </w:r>
    </w:p>
    <w:p>
      <w:pPr>
        <w:pStyle w:val="Normal"/>
        <w:spacing w:before="57" w:after="358"/>
        <w:jc w:val="left"/>
        <w:rPr>
          <w:rFonts w:ascii="Times New Roman" w:hAnsi="Times New Roman"/>
          <w:b w:val="false"/>
          <w:bCs w:val="false"/>
          <w:sz w:val="24"/>
          <w:szCs w:val="24"/>
          <w:u w:val="none"/>
        </w:rPr>
      </w:pPr>
      <w:r>
        <w:rPr>
          <w:rFonts w:ascii="Times New Roman" w:hAnsi="Times New Roman"/>
          <w:b w:val="false"/>
          <w:bCs w:val="false"/>
          <w:sz w:val="24"/>
          <w:szCs w:val="24"/>
          <w:u w:val="none"/>
        </w:rPr>
        <w:t>(7) Cijene korištenja reciklažnog dvorišta, koje cjenikom određuje upravitelj reciklažnog dvorišta, moraju odgovarati troškovima zbrinjavanja pojedinih vrsta i količina otpada koje korisnik predaje u reciklažno dvorište.</w:t>
      </w:r>
    </w:p>
    <w:p>
      <w:pPr>
        <w:pStyle w:val="Heading2"/>
        <w:ind w:hanging="0" w:left="10" w:right="0"/>
        <w:rPr>
          <w:rFonts w:ascii="Times New Roman" w:hAnsi="Times New Roman"/>
        </w:rPr>
      </w:pPr>
      <w:r>
        <w:rPr>
          <w:rFonts w:cs="Calibri" w:ascii="Times New Roman" w:hAnsi="Times New Roman"/>
          <w:color w:val="111111"/>
          <w:sz w:val="24"/>
          <w:szCs w:val="24"/>
        </w:rPr>
        <w:t>Način pružanja i korištenja javne usluge</w:t>
      </w:r>
      <w:r>
        <w:rPr>
          <w:rFonts w:cs="Calibri" w:ascii="Times New Roman" w:hAnsi="Times New Roman"/>
          <w:color w:val="111111"/>
          <w:sz w:val="24"/>
          <w:szCs w:val="24"/>
          <w:u w:val="none"/>
        </w:rPr>
        <w:t xml:space="preserve">  </w:t>
      </w:r>
    </w:p>
    <w:p>
      <w:pPr>
        <w:pStyle w:val="Normal"/>
        <w:spacing w:lineRule="auto" w:line="247" w:before="0" w:after="27"/>
        <w:ind w:hanging="10" w:left="10" w:right="4"/>
        <w:jc w:val="center"/>
        <w:rPr>
          <w:rFonts w:ascii="Times New Roman" w:hAnsi="Times New Roman"/>
        </w:rPr>
      </w:pPr>
      <w:r>
        <w:rPr>
          <w:rFonts w:cs="Calibri" w:ascii="Times New Roman" w:hAnsi="Times New Roman"/>
          <w:b/>
          <w:color w:val="111111"/>
          <w:sz w:val="24"/>
          <w:szCs w:val="24"/>
        </w:rPr>
        <w:t xml:space="preserve">Članak 12. </w:t>
      </w:r>
    </w:p>
    <w:p>
      <w:pPr>
        <w:pStyle w:val="Normal"/>
        <w:numPr>
          <w:ilvl w:val="0"/>
          <w:numId w:val="5"/>
        </w:numPr>
        <w:spacing w:before="0" w:after="142"/>
        <w:ind w:hanging="295" w:left="295" w:right="0"/>
        <w:rPr>
          <w:rFonts w:ascii="Times New Roman" w:hAnsi="Times New Roman"/>
        </w:rPr>
      </w:pPr>
      <w:r>
        <w:rPr>
          <w:rFonts w:cs="Calibri" w:ascii="Times New Roman" w:hAnsi="Times New Roman"/>
          <w:color w:val="111111"/>
          <w:sz w:val="24"/>
          <w:szCs w:val="24"/>
        </w:rPr>
        <w:t xml:space="preserve">Davatelj javne usluge pruža, a korisnik javne usluge koristi javnu uslugu na sljedeći način: </w:t>
      </w:r>
    </w:p>
    <w:p>
      <w:pPr>
        <w:pStyle w:val="Normal"/>
        <w:numPr>
          <w:ilvl w:val="1"/>
          <w:numId w:val="5"/>
        </w:numPr>
        <w:spacing w:before="0" w:after="24"/>
        <w:ind w:hanging="360" w:left="708" w:right="0"/>
        <w:rPr>
          <w:rFonts w:ascii="Times New Roman" w:hAnsi="Times New Roman"/>
        </w:rPr>
      </w:pPr>
      <w:r>
        <w:rPr>
          <w:rFonts w:cs="Calibri" w:ascii="Times New Roman" w:hAnsi="Times New Roman"/>
          <w:color w:val="111111"/>
          <w:sz w:val="24"/>
          <w:szCs w:val="24"/>
        </w:rPr>
        <w:t xml:space="preserve">korisniku javne usluge mora se osigurati mogućnost odvojene primopredaje komunalnog otpada, putem spremnika odgovarajućih veličina i vrsta, na njegovom obračunskom mjestu; korištenjem spremnika za ambalažno staklo i druge vrste otpada postavljenih na javnoj površini; korištenjem reciklažnih dvorišta, mobilnih reciklažnih dvorišta te odvozom glomaznog komunalnog otpada jednom godišnje, bez naknade, </w:t>
      </w:r>
      <w:r>
        <w:rPr>
          <w:rFonts w:cs="Calibri" w:ascii="Times New Roman" w:hAnsi="Times New Roman"/>
          <w:color w:val="111111"/>
          <w:sz w:val="24"/>
          <w:szCs w:val="24"/>
        </w:rPr>
        <w:t>n</w:t>
      </w:r>
      <w:r>
        <w:rPr>
          <w:rFonts w:cs="Calibri" w:ascii="Times New Roman" w:hAnsi="Times New Roman"/>
          <w:color w:val="111111"/>
          <w:sz w:val="24"/>
          <w:szCs w:val="24"/>
        </w:rPr>
        <w:t>a adrese obračunskog mjesta korisnika javne usluge;</w:t>
      </w:r>
    </w:p>
    <w:p>
      <w:pPr>
        <w:pStyle w:val="Normal"/>
        <w:numPr>
          <w:ilvl w:val="1"/>
          <w:numId w:val="5"/>
        </w:numPr>
        <w:ind w:hanging="360" w:left="708" w:right="0"/>
        <w:rPr>
          <w:rFonts w:ascii="Times New Roman" w:hAnsi="Times New Roman"/>
        </w:rPr>
      </w:pPr>
      <w:r>
        <w:rPr>
          <w:rFonts w:cs="Calibri" w:ascii="Times New Roman" w:hAnsi="Times New Roman"/>
          <w:color w:val="111111"/>
          <w:sz w:val="24"/>
          <w:szCs w:val="24"/>
        </w:rPr>
        <w:t>korisniku javne usluge mora se osigurati odvojena primopredaja miješanog komunalnog otpada, biootpada i reciklabilnog otpada, koja se obavlja putem spremnika na lokaciji obračunskog mjesta korisnika usluge, na način da se miješani komunalni otpad i biootpad sakupljaju odvojeno od otpadnog papira/kartona, plastične/metalne ambalaže, a u stambenim zgradama i otpadne staklene ambalaže, u odgovarajućim spremnicima za miješani komunalni otpad, biootpad, otpadni papir/karton, plastičnu/metalnu ambalažu te ambalažno staklo;</w:t>
      </w:r>
    </w:p>
    <w:p>
      <w:pPr>
        <w:pStyle w:val="Normal"/>
        <w:numPr>
          <w:ilvl w:val="1"/>
          <w:numId w:val="5"/>
        </w:numPr>
        <w:spacing w:before="0" w:after="24"/>
        <w:ind w:hanging="360" w:left="708" w:right="0"/>
        <w:rPr>
          <w:rFonts w:ascii="Times New Roman" w:hAnsi="Times New Roman"/>
        </w:rPr>
      </w:pPr>
      <w:r>
        <w:rPr>
          <w:rFonts w:cs="Calibri" w:ascii="Times New Roman" w:hAnsi="Times New Roman"/>
          <w:color w:val="111111"/>
          <w:sz w:val="24"/>
          <w:szCs w:val="24"/>
        </w:rPr>
        <w:t>korisnik javne usluge može odabrati zbrinjavanje biootpada kompostiranjem u kućnom komposteru ili odvozom biootpada odvojeno prikupljenog u odgovarajućem spremniku; kod korisnika javne usluge u stambenim zgradama biootpad se prvenstveno zbrinjava odvozom biootpada prikupljenog pomoću odgovarajućeg spremnika;</w:t>
      </w:r>
    </w:p>
    <w:p>
      <w:pPr>
        <w:pStyle w:val="Normal"/>
        <w:numPr>
          <w:ilvl w:val="1"/>
          <w:numId w:val="5"/>
        </w:numPr>
        <w:ind w:hanging="360" w:left="708" w:right="0"/>
        <w:rPr>
          <w:rFonts w:ascii="Times New Roman" w:hAnsi="Times New Roman"/>
        </w:rPr>
      </w:pPr>
      <w:r>
        <w:rPr>
          <w:rFonts w:cs="Calibri" w:ascii="Times New Roman" w:hAnsi="Times New Roman"/>
          <w:color w:val="111111"/>
          <w:sz w:val="24"/>
          <w:szCs w:val="24"/>
        </w:rPr>
        <w:t>korisniku javne usluge kategorije kućanstvo mora se omogućiti odvojena predaja glomaznog komunalnog otpada u reciklažnom dvorištu, mobilnom reciklažnom dvorištu te jednom godišnje u količini ne većoj od 5 m3, bez naplate, odvozom s adrese obračunskog mjesta korisnika javne usluge na poziv korisnika javne usluge; prilikom odvoza glomaznog otpada, korisnik javne usluge može odvojeno predati i: električni/elektronički otpad, tekstil, odjeću i obuću, otpadnu gumu, problematični i opasni otpad iz kućanstva, zeleni (vrtni) biorazgradivi otpad (granje); navedeni otpad mora biti zapakiran ili pripremljen na način da se spriječi njegovo prosipanje i miješanje s drugim otpadom, odnosno da se može lako odvojiti po vrstama; korisnik je dužan u zahtjevu za odvoz glomaznog otpada navesti koje vrste i količine otpada namjerava predati prilikom odvoza;</w:t>
      </w:r>
    </w:p>
    <w:p>
      <w:pPr>
        <w:pStyle w:val="Normal"/>
        <w:numPr>
          <w:ilvl w:val="1"/>
          <w:numId w:val="5"/>
        </w:numPr>
        <w:spacing w:before="0" w:after="112"/>
        <w:ind w:hanging="360" w:left="708" w:right="0"/>
        <w:rPr>
          <w:rFonts w:ascii="Times New Roman" w:hAnsi="Times New Roman"/>
        </w:rPr>
      </w:pPr>
      <w:r>
        <w:rPr>
          <w:rFonts w:cs="Calibri" w:ascii="Times New Roman" w:hAnsi="Times New Roman"/>
          <w:color w:val="111111"/>
          <w:sz w:val="24"/>
          <w:szCs w:val="24"/>
        </w:rPr>
        <w:t>korisniku javne usluge mora se omogućiti odvojena predaja otpada određenog posebnim propisom koji uređuje gospodarenje otpadom u reciklažnom dvorištu, odnosno mobilnom reciklažnom dvorištu, sukladno člnaku 11. ove Odluke.</w:t>
      </w:r>
    </w:p>
    <w:p>
      <w:pPr>
        <w:pStyle w:val="Normal"/>
        <w:numPr>
          <w:ilvl w:val="0"/>
          <w:numId w:val="5"/>
        </w:numPr>
        <w:spacing w:before="0" w:after="146"/>
        <w:ind w:hanging="295" w:left="295" w:right="0"/>
        <w:rPr>
          <w:rFonts w:ascii="Times New Roman" w:hAnsi="Times New Roman"/>
        </w:rPr>
      </w:pPr>
      <w:r>
        <w:rPr>
          <w:rFonts w:cs="Calibri" w:ascii="Times New Roman" w:hAnsi="Times New Roman"/>
          <w:color w:val="111111"/>
          <w:sz w:val="24"/>
          <w:szCs w:val="24"/>
        </w:rPr>
        <w:t xml:space="preserve">Na zahtjev korisnika javne usluge, uz naplatu sukladno Cjeniku davatelja javne usluge, pružaju se sljedeće usluge: </w:t>
      </w:r>
    </w:p>
    <w:p>
      <w:pPr>
        <w:pStyle w:val="Normal"/>
        <w:numPr>
          <w:ilvl w:val="1"/>
          <w:numId w:val="5"/>
        </w:numPr>
        <w:ind w:hanging="360" w:left="708" w:right="0"/>
        <w:rPr>
          <w:rFonts w:ascii="Times New Roman" w:hAnsi="Times New Roman"/>
        </w:rPr>
      </w:pPr>
      <w:r>
        <w:rPr>
          <w:rFonts w:cs="Calibri" w:ascii="Times New Roman" w:hAnsi="Times New Roman"/>
          <w:color w:val="111111"/>
          <w:sz w:val="24"/>
          <w:szCs w:val="24"/>
        </w:rPr>
        <w:t xml:space="preserve">preuzimanje otpada iz stavka 1. ovoga članka u slučaju iznimne potrebe za preuzimanjem veće količine otpada od uobičajene; </w:t>
      </w:r>
    </w:p>
    <w:p>
      <w:pPr>
        <w:pStyle w:val="Normal"/>
        <w:numPr>
          <w:ilvl w:val="1"/>
          <w:numId w:val="5"/>
        </w:numPr>
        <w:spacing w:before="0" w:after="112"/>
        <w:ind w:hanging="360" w:left="708" w:right="0"/>
        <w:rPr>
          <w:rFonts w:ascii="Times New Roman" w:hAnsi="Times New Roman"/>
        </w:rPr>
      </w:pPr>
      <w:r>
        <w:rPr>
          <w:rFonts w:cs="Calibri" w:ascii="Times New Roman" w:hAnsi="Times New Roman"/>
          <w:color w:val="111111"/>
          <w:sz w:val="24"/>
          <w:szCs w:val="24"/>
        </w:rPr>
        <w:t xml:space="preserve">preuzimanje glomaznog otpada, osim preuzimanja glomaznog otpada iz točke 4. stavka 1. ovoga članka. </w:t>
      </w:r>
    </w:p>
    <w:p>
      <w:pPr>
        <w:pStyle w:val="Normal"/>
        <w:numPr>
          <w:ilvl w:val="0"/>
          <w:numId w:val="5"/>
        </w:numPr>
        <w:spacing w:before="0" w:after="112"/>
        <w:ind w:hanging="295" w:left="295" w:right="0"/>
        <w:rPr>
          <w:rFonts w:ascii="Times New Roman" w:hAnsi="Times New Roman"/>
        </w:rPr>
      </w:pPr>
      <w:r>
        <w:rPr>
          <w:rFonts w:cs="Calibri" w:ascii="Times New Roman" w:hAnsi="Times New Roman"/>
          <w:color w:val="111111"/>
          <w:sz w:val="24"/>
          <w:szCs w:val="24"/>
        </w:rPr>
        <w:t xml:space="preserve"> </w:t>
      </w:r>
      <w:r>
        <w:rPr>
          <w:rFonts w:cs="Calibri" w:ascii="Times New Roman" w:hAnsi="Times New Roman"/>
          <w:color w:val="111111"/>
          <w:sz w:val="24"/>
          <w:szCs w:val="24"/>
        </w:rPr>
        <w:t>Korisnik koji koristi kućno kompostiranje biootpada dužan je koristiti vlastiti komposter ili komposter koji preuzima od davatelja javne usluge. Komposter se postavlja na udaljenosti od najmanje 2 metra od svake granice katastarske čestice na adresi obračunskog mjesta korisnika javne usluge, osim ukoliko korisnik ima suglasnost vlasnika susjednog zemljišta o tome da komposter smije postaviti na manju udaljenost od granice katastarske čestice. Korisnik javne usluge obvezuje se djelatnicima davatelja javne usluge ili drugim osobama ovlaštenim za nadzor provedbe ove Odluke omogućiti pristup na svojoj nekretnini i uvid u stanje kompostera i provedbu kućnog kompostiranja. Korisnik javne usluge dužan je kućno kompostiranje provoditi sukladno uputama davatelja javne usluge te odredbama Zakona i odgovarajućih propisa.</w:t>
      </w:r>
    </w:p>
    <w:p>
      <w:pPr>
        <w:pStyle w:val="Normal"/>
        <w:numPr>
          <w:ilvl w:val="0"/>
          <w:numId w:val="5"/>
        </w:numPr>
        <w:spacing w:before="0" w:after="0"/>
        <w:ind w:hanging="295" w:left="295" w:right="0"/>
        <w:rPr>
          <w:rFonts w:ascii="Times New Roman" w:hAnsi="Times New Roman"/>
        </w:rPr>
      </w:pPr>
      <w:r>
        <w:rPr>
          <w:rFonts w:cs="Calibri" w:ascii="Times New Roman" w:hAnsi="Times New Roman"/>
          <w:color w:val="111111"/>
          <w:sz w:val="24"/>
          <w:szCs w:val="24"/>
        </w:rPr>
        <w:t xml:space="preserve"> </w:t>
      </w:r>
      <w:r>
        <w:rPr>
          <w:rFonts w:cs="Calibri" w:ascii="Times New Roman" w:hAnsi="Times New Roman"/>
          <w:color w:val="111111"/>
          <w:sz w:val="24"/>
          <w:szCs w:val="24"/>
        </w:rPr>
        <w:t xml:space="preserve">Spremnik na obračunskom mjestu na adresi korisnika javne usluge i spremnik postavljen na javnoj površini iz stavka 1. ovoga članka smatraju se primarnim spremnikom. </w:t>
      </w:r>
    </w:p>
    <w:p>
      <w:pPr>
        <w:pStyle w:val="Normal"/>
        <w:numPr>
          <w:ilvl w:val="0"/>
          <w:numId w:val="5"/>
        </w:numPr>
        <w:spacing w:before="0" w:after="0"/>
        <w:ind w:hanging="295" w:left="295" w:right="0"/>
        <w:rPr>
          <w:rFonts w:ascii="Times New Roman" w:hAnsi="Times New Roman"/>
        </w:rPr>
      </w:pPr>
      <w:r>
        <w:rPr>
          <w:rFonts w:cs="Calibri" w:ascii="Times New Roman" w:hAnsi="Times New Roman"/>
          <w:color w:val="111111"/>
          <w:sz w:val="24"/>
          <w:szCs w:val="24"/>
        </w:rPr>
        <w:t xml:space="preserve"> </w:t>
      </w:r>
      <w:r>
        <w:rPr>
          <w:rFonts w:cs="Calibri" w:ascii="Times New Roman" w:hAnsi="Times New Roman"/>
          <w:color w:val="111111"/>
          <w:sz w:val="24"/>
          <w:szCs w:val="24"/>
        </w:rPr>
        <w:t>Kod kategorije korisnika kućanstvo, potkategorija b. stambene zgrade, svi korisnici u stambenoj zgradi koriste zajedničke spremnike.</w:t>
      </w:r>
    </w:p>
    <w:p>
      <w:pPr>
        <w:pStyle w:val="Normal"/>
        <w:spacing w:before="0" w:after="0"/>
        <w:ind w:hanging="0" w:left="295" w:right="0"/>
        <w:rPr>
          <w:rFonts w:ascii="Times New Roman" w:hAnsi="Times New Roman" w:cs="Calibri"/>
          <w:color w:val="111111"/>
          <w:sz w:val="24"/>
          <w:szCs w:val="24"/>
        </w:rPr>
      </w:pPr>
      <w:r>
        <w:rPr>
          <w:rFonts w:cs="Calibri" w:ascii="Times New Roman" w:hAnsi="Times New Roman"/>
          <w:color w:val="111111"/>
          <w:sz w:val="24"/>
          <w:szCs w:val="24"/>
        </w:rPr>
      </w:r>
    </w:p>
    <w:p>
      <w:pPr>
        <w:pStyle w:val="Normal"/>
        <w:spacing w:before="0" w:after="73"/>
        <w:ind w:hanging="0" w:left="0" w:right="0"/>
        <w:rPr>
          <w:rFonts w:ascii="Times New Roman" w:hAnsi="Times New Roman"/>
        </w:rPr>
      </w:pPr>
      <w:r>
        <w:rPr>
          <w:rFonts w:cs="Calibri" w:ascii="Times New Roman" w:hAnsi="Times New Roman"/>
          <w:color w:val="111111"/>
          <w:sz w:val="24"/>
          <w:szCs w:val="24"/>
        </w:rPr>
        <w:t>Ako ne postoji sporazum između korisnika zajedničkih spremnika, udjele pojedinih korisnika u zajedničkom spremniku, na temelju podataka davatelja javne usluge, određuje davatelj javne usluge. U slučaju da suvlasnici stambene zgrade nisu postigli sporazum o korištenju zajedničkog spremnika, količina otpada za pojedinačnog korisnika obračunava se prema njegovom udjelu u korištenju zajedničkog spremnika, a smatra se da svi korisnici koriste jednaki udio u zajedničkom spremniku.</w:t>
      </w:r>
    </w:p>
    <w:p>
      <w:pPr>
        <w:pStyle w:val="Normal"/>
        <w:spacing w:before="0" w:after="472"/>
        <w:ind w:hanging="0" w:left="0" w:right="0"/>
        <w:rPr>
          <w:rFonts w:ascii="Times New Roman" w:hAnsi="Times New Roman"/>
        </w:rPr>
      </w:pPr>
      <w:r>
        <w:rPr>
          <w:rFonts w:cs="Calibri" w:ascii="Times New Roman" w:hAnsi="Times New Roman"/>
          <w:color w:val="111111"/>
          <w:sz w:val="24"/>
          <w:szCs w:val="24"/>
        </w:rPr>
        <w:t>Ako zajednički spremnik za miješani komunalni otpad uz korisnike kategorije kućanstvo, potkategorija b. stambene zgrade, istovremeno koriste i korisnici koji nisu kategorije kućanstvo, odnosno pravne osobe i/ili fizičke osobe – obrtnici, njihov udio u korištenju zajedničkog spremnika zgrade određuje se na isti način kao i kod kategorije korisnika kućanstvo, potkategorija b. stambene zgrade.</w:t>
      </w:r>
    </w:p>
    <w:p>
      <w:pPr>
        <w:pStyle w:val="Heading2"/>
        <w:ind w:hanging="10" w:left="-5" w:right="0"/>
        <w:rPr>
          <w:rFonts w:ascii="Times New Roman" w:hAnsi="Times New Roman"/>
        </w:rPr>
      </w:pPr>
      <w:r>
        <w:rPr>
          <w:rFonts w:cs="Calibri" w:ascii="Times New Roman" w:hAnsi="Times New Roman"/>
          <w:color w:val="111111"/>
          <w:sz w:val="24"/>
          <w:szCs w:val="24"/>
        </w:rPr>
        <w:t>Korištenje javnih površina za sakupljanje otpada</w:t>
      </w:r>
      <w:r>
        <w:rPr>
          <w:rFonts w:cs="Calibri" w:ascii="Times New Roman" w:hAnsi="Times New Roman"/>
          <w:color w:val="111111"/>
          <w:sz w:val="24"/>
          <w:szCs w:val="24"/>
          <w:u w:val="none"/>
        </w:rPr>
        <w:t xml:space="preserve">  </w:t>
      </w:r>
    </w:p>
    <w:p>
      <w:pPr>
        <w:pStyle w:val="Normal"/>
        <w:spacing w:lineRule="auto" w:line="247" w:before="0" w:after="27"/>
        <w:ind w:hanging="10" w:left="10" w:right="4"/>
        <w:jc w:val="center"/>
        <w:rPr>
          <w:rFonts w:ascii="Times New Roman" w:hAnsi="Times New Roman"/>
        </w:rPr>
      </w:pPr>
      <w:r>
        <w:rPr>
          <w:rFonts w:cs="Calibri" w:ascii="Times New Roman" w:hAnsi="Times New Roman"/>
          <w:b/>
          <w:color w:val="111111"/>
          <w:sz w:val="24"/>
          <w:szCs w:val="24"/>
        </w:rPr>
        <w:t xml:space="preserve">Članak 13. </w:t>
      </w:r>
    </w:p>
    <w:p>
      <w:pPr>
        <w:pStyle w:val="Normal"/>
        <w:numPr>
          <w:ilvl w:val="0"/>
          <w:numId w:val="0"/>
        </w:numPr>
        <w:spacing w:before="0" w:after="111"/>
        <w:ind w:hanging="0" w:left="10" w:right="0"/>
        <w:rPr>
          <w:rFonts w:ascii="Times New Roman" w:hAnsi="Times New Roman"/>
        </w:rPr>
      </w:pPr>
      <w:r>
        <w:rPr>
          <w:rFonts w:cs="Calibri" w:ascii="Times New Roman" w:hAnsi="Times New Roman"/>
          <w:color w:val="111111"/>
          <w:sz w:val="24"/>
          <w:szCs w:val="24"/>
        </w:rPr>
        <w:t>(1) Sakupljanje komunalnog otpada na adresi obračunskog mjesta korisnika javne usluge obavlja se u odgovarajućim spremnicima koji u pravilu moraju biti smješteni na zemljištu, odnosno unutar nekretnine korisnika javne usluge. Primopredaja otpada u pravilu se obavlja na javnoj površini ispred nekretnine korisnika javne usluge, osim ako korisnik javne usluge nije ovlastio davatelja javne usluge za ulazak na zemljište odnosno u nekretninu korisnika javne usluge i to mu omogućio. Korisnik javne usluge koristi uslugu na način da, sukladno obavijesti o prikupljanju komunalnog otpada, u dane odvoza otpada na javnu površinu ispred svoje nekretnine iznese odgovarajući spremnik s otpadom koji se u te dane odvozi.</w:t>
      </w:r>
    </w:p>
    <w:p>
      <w:pPr>
        <w:pStyle w:val="Normal"/>
        <w:numPr>
          <w:ilvl w:val="0"/>
          <w:numId w:val="0"/>
        </w:numPr>
        <w:spacing w:before="0" w:after="112"/>
        <w:ind w:hanging="0" w:left="-5" w:right="0"/>
        <w:rPr>
          <w:rFonts w:ascii="Times New Roman" w:hAnsi="Times New Roman"/>
        </w:rPr>
      </w:pPr>
      <w:r>
        <w:rPr>
          <w:rFonts w:cs="Calibri" w:ascii="Times New Roman" w:hAnsi="Times New Roman"/>
          <w:color w:val="111111"/>
          <w:sz w:val="24"/>
          <w:szCs w:val="24"/>
        </w:rPr>
        <w:t>(2) U slučaju kad spremnike za otpad nije moguće smjestiti na zemljištu odnosno unutar nekretnine korisnika javne usluge, spremnici se mogu smjestiti na javnu površinu, unutar odgovarajuće označenog i natkrivenog te ograđenog spremišta za spremnike za otpad ili u obliku plupodzemnih ili podzemnih spremnika, sukladno rješenju Jedinstvenog upravnog odjela Općine Marijanci o korištenju javne površine i u dogovoru s davateljem javne usluge. Zahtjev za izdavanje rješenja, na zahtjev korisnika javne usluge, Općini Marijanci upućuje davatelj javne usluge.</w:t>
      </w:r>
    </w:p>
    <w:p>
      <w:pPr>
        <w:pStyle w:val="Normal"/>
        <w:numPr>
          <w:ilvl w:val="0"/>
          <w:numId w:val="0"/>
        </w:numPr>
        <w:spacing w:before="0" w:after="112"/>
        <w:ind w:hanging="0" w:left="-5" w:right="0"/>
        <w:rPr>
          <w:rFonts w:ascii="Times New Roman" w:hAnsi="Times New Roman"/>
        </w:rPr>
      </w:pPr>
      <w:r>
        <w:rPr>
          <w:rFonts w:cs="Calibri" w:ascii="Times New Roman" w:hAnsi="Times New Roman"/>
          <w:color w:val="111111"/>
          <w:sz w:val="24"/>
          <w:szCs w:val="24"/>
        </w:rPr>
        <w:t>(3) U suradnji sa Općinom Marijanci, davatelj javne usluge prema potrebi spremnike za komunalni otpad i mobilna reciklažna dvorišta može povremeno privremeno postavljati na javne površine i bez rješenja Jedinstvenog upravnog odjela Općine Marijanci, sukladno uputama JUO Općine Marijanci, na način da tako postavljeni spremnici i mobilna reciklažna  dvorišta ne ometaju korištenje javne površine, osobito u smislu prometa pješaka i vozila te preglednosti raskrižja. Sav otpad koji se nađe u okolici spremnika na javnoj površini davatelj javne usluge dužan je ukloniti u najkraćem mogućem roku.</w:t>
      </w:r>
    </w:p>
    <w:p>
      <w:pPr>
        <w:pStyle w:val="Normal"/>
        <w:spacing w:before="0" w:after="112"/>
        <w:ind w:hanging="0" w:left="-5" w:right="0"/>
        <w:rPr>
          <w:rFonts w:ascii="Times New Roman" w:hAnsi="Times New Roman" w:cs="Calibri"/>
          <w:color w:val="111111"/>
          <w:sz w:val="24"/>
          <w:szCs w:val="24"/>
        </w:rPr>
      </w:pPr>
      <w:r>
        <w:rPr>
          <w:rFonts w:cs="Calibri" w:ascii="Times New Roman" w:hAnsi="Times New Roman"/>
          <w:color w:val="111111"/>
          <w:sz w:val="24"/>
          <w:szCs w:val="24"/>
        </w:rPr>
      </w:r>
    </w:p>
    <w:p>
      <w:pPr>
        <w:pStyle w:val="Normal"/>
        <w:spacing w:before="0" w:after="112"/>
        <w:ind w:hanging="0" w:left="-5" w:right="0"/>
        <w:rPr>
          <w:rFonts w:ascii="Times New Roman" w:hAnsi="Times New Roman"/>
        </w:rPr>
      </w:pPr>
      <w:r>
        <w:rPr>
          <w:rFonts w:cs="Calibri" w:ascii="Times New Roman" w:hAnsi="Times New Roman"/>
          <w:b/>
          <w:bCs/>
          <w:color w:val="111111"/>
          <w:sz w:val="24"/>
          <w:szCs w:val="24"/>
          <w:u w:val="single"/>
        </w:rPr>
        <w:t xml:space="preserve">Obveze davatelja javne usluge </w:t>
      </w:r>
    </w:p>
    <w:p>
      <w:pPr>
        <w:pStyle w:val="Normal"/>
        <w:spacing w:before="0" w:after="0"/>
        <w:ind w:firstLine="4064" w:left="-15" w:right="3285"/>
        <w:rPr>
          <w:rFonts w:ascii="Times New Roman" w:hAnsi="Times New Roman"/>
        </w:rPr>
      </w:pPr>
      <w:r>
        <w:rPr>
          <w:rFonts w:cs="Calibri" w:ascii="Times New Roman" w:hAnsi="Times New Roman"/>
          <w:b/>
          <w:color w:val="111111"/>
          <w:sz w:val="24"/>
          <w:szCs w:val="24"/>
        </w:rPr>
        <w:t xml:space="preserve">Članak 14. </w:t>
      </w:r>
    </w:p>
    <w:p>
      <w:pPr>
        <w:pStyle w:val="Normal"/>
        <w:spacing w:before="0" w:after="138"/>
        <w:ind w:hanging="0" w:left="-15" w:right="3285"/>
        <w:rPr>
          <w:rFonts w:ascii="Times New Roman" w:hAnsi="Times New Roman"/>
        </w:rPr>
      </w:pPr>
      <w:r>
        <w:rPr>
          <w:rFonts w:cs="Calibri" w:ascii="Times New Roman" w:hAnsi="Times New Roman"/>
          <w:color w:val="111111"/>
          <w:sz w:val="24"/>
          <w:szCs w:val="24"/>
        </w:rPr>
        <w:t xml:space="preserve">Davatelj javne usluge dužan je: </w:t>
      </w:r>
    </w:p>
    <w:p>
      <w:pPr>
        <w:pStyle w:val="Normal"/>
        <w:numPr>
          <w:ilvl w:val="0"/>
          <w:numId w:val="6"/>
        </w:numPr>
        <w:spacing w:before="0" w:after="24"/>
        <w:ind w:hanging="360" w:left="710" w:right="0"/>
        <w:rPr>
          <w:rFonts w:ascii="Times New Roman" w:hAnsi="Times New Roman"/>
        </w:rPr>
      </w:pPr>
      <w:r>
        <w:rPr>
          <w:rFonts w:cs="Calibri" w:ascii="Times New Roman" w:hAnsi="Times New Roman"/>
          <w:color w:val="111111"/>
          <w:sz w:val="24"/>
          <w:szCs w:val="24"/>
        </w:rPr>
        <w:t xml:space="preserve">pružati javnu uslugu u skladu sa Zakonom i ovom Odlukom te drugim propisima koji reguliraju gospodarenje otpadom; </w:t>
      </w:r>
    </w:p>
    <w:p>
      <w:pPr>
        <w:pStyle w:val="Normal"/>
        <w:numPr>
          <w:ilvl w:val="0"/>
          <w:numId w:val="6"/>
        </w:numPr>
        <w:spacing w:before="0" w:after="24"/>
        <w:ind w:hanging="360" w:left="710" w:right="0"/>
        <w:rPr>
          <w:rFonts w:ascii="Times New Roman" w:hAnsi="Times New Roman"/>
        </w:rPr>
      </w:pPr>
      <w:r>
        <w:rPr>
          <w:rFonts w:cs="Calibri" w:ascii="Times New Roman" w:hAnsi="Times New Roman"/>
          <w:color w:val="111111"/>
          <w:sz w:val="24"/>
          <w:szCs w:val="24"/>
        </w:rPr>
        <w:t xml:space="preserve">postupati s odvojeno sakupljenim komunalnim otpadom, uključujući preuzimanje, prijevoz i predaju na zbrinjavanje tog otpada, sukladno redu prvenstva gospodarenja otpadom i na način koji ne dovodi do miješanja odvojeno sakupljenog komunalnog otpada s drugom vrstom otpada ili otpadom koji ima drukčija svojstva;  </w:t>
      </w:r>
    </w:p>
    <w:p>
      <w:pPr>
        <w:pStyle w:val="Normal"/>
        <w:numPr>
          <w:ilvl w:val="0"/>
          <w:numId w:val="6"/>
        </w:numPr>
        <w:spacing w:before="0" w:after="24"/>
        <w:ind w:hanging="360" w:left="710" w:right="0"/>
        <w:rPr>
          <w:rFonts w:ascii="Times New Roman" w:hAnsi="Times New Roman"/>
        </w:rPr>
      </w:pPr>
      <w:r>
        <w:rPr>
          <w:rFonts w:cs="Calibri" w:ascii="Times New Roman" w:hAnsi="Times New Roman"/>
          <w:color w:val="111111"/>
          <w:sz w:val="24"/>
          <w:szCs w:val="24"/>
        </w:rPr>
        <w:t>odgovarati za sigurnost, redovitost i kvalitetu pružanja javne usluge te čistoću na mjestu primopredaje otpada;</w:t>
      </w:r>
    </w:p>
    <w:p>
      <w:pPr>
        <w:pStyle w:val="Normal"/>
        <w:numPr>
          <w:ilvl w:val="0"/>
          <w:numId w:val="6"/>
        </w:numPr>
        <w:spacing w:before="0" w:after="24"/>
        <w:ind w:hanging="360" w:left="710" w:right="0"/>
        <w:rPr>
          <w:rFonts w:ascii="Times New Roman" w:hAnsi="Times New Roman"/>
        </w:rPr>
      </w:pPr>
      <w:r>
        <w:rPr>
          <w:rFonts w:cs="Calibri" w:ascii="Times New Roman" w:hAnsi="Times New Roman"/>
          <w:color w:val="111111"/>
          <w:sz w:val="24"/>
          <w:szCs w:val="24"/>
        </w:rPr>
        <w:t xml:space="preserve">snositi sve troškove gospodarenja prikupljenim komunalnim otpadom do uspostave sustava postupanja s reciklabilnim komunalnim otpadom koji se sastoji pretežito od otpadne ambalaže; </w:t>
      </w:r>
    </w:p>
    <w:p>
      <w:pPr>
        <w:pStyle w:val="Normal"/>
        <w:numPr>
          <w:ilvl w:val="0"/>
          <w:numId w:val="6"/>
        </w:numPr>
        <w:spacing w:before="0" w:after="24"/>
        <w:ind w:hanging="360" w:left="710" w:right="0"/>
        <w:rPr>
          <w:rFonts w:ascii="Times New Roman" w:hAnsi="Times New Roman"/>
        </w:rPr>
      </w:pPr>
      <w:r>
        <w:rPr>
          <w:rFonts w:cs="Calibri" w:ascii="Times New Roman" w:hAnsi="Times New Roman"/>
          <w:color w:val="111111"/>
          <w:sz w:val="24"/>
          <w:szCs w:val="24"/>
        </w:rPr>
        <w:t>osigurati korisniku javne usluge spremnike za primopredaju komunalnog otpada sukladno članku 7. ove Odluke; osigurati korisniku javne usluge na njegov zahtjev komposter za kompostiranje biootpada; omogućiti odvoz glomaznog komunalnog otpada s adrese obračunskog mjesta korisnika sukladno članku 12. ove Odluke;</w:t>
      </w:r>
    </w:p>
    <w:p>
      <w:pPr>
        <w:pStyle w:val="Normal"/>
        <w:numPr>
          <w:ilvl w:val="0"/>
          <w:numId w:val="6"/>
        </w:numPr>
        <w:spacing w:before="0" w:after="24"/>
        <w:ind w:hanging="360" w:left="710" w:right="0"/>
        <w:rPr>
          <w:rFonts w:ascii="Times New Roman" w:hAnsi="Times New Roman"/>
        </w:rPr>
      </w:pPr>
      <w:r>
        <w:rPr>
          <w:rFonts w:cs="Calibri" w:ascii="Times New Roman" w:hAnsi="Times New Roman"/>
          <w:color w:val="111111"/>
          <w:sz w:val="24"/>
          <w:szCs w:val="24"/>
        </w:rPr>
        <w:t>označiti spremnike za primopredaju komunalnog otpada nazivom davatelja javne usluge, nazivom vrste otpada za koju je spremnik namijenjen i oznakom koja je u Evidenciji o preuzetom komunalnom otpadu pridružena korisniku javne usluge i obračunskom mjestu;</w:t>
      </w:r>
    </w:p>
    <w:p>
      <w:pPr>
        <w:pStyle w:val="Normal"/>
        <w:numPr>
          <w:ilvl w:val="0"/>
          <w:numId w:val="6"/>
        </w:numPr>
        <w:spacing w:before="0" w:after="24"/>
        <w:ind w:hanging="360" w:left="710" w:right="0"/>
        <w:rPr>
          <w:rFonts w:ascii="Times New Roman" w:hAnsi="Times New Roman"/>
        </w:rPr>
      </w:pPr>
      <w:r>
        <w:rPr>
          <w:rFonts w:cs="Calibri" w:ascii="Times New Roman" w:hAnsi="Times New Roman"/>
          <w:color w:val="111111"/>
          <w:sz w:val="24"/>
          <w:szCs w:val="24"/>
        </w:rPr>
        <w:t>preuzimati redovito, u skladu sa rasporedom odvoza davatelja javne usluge, sadržaj pojedinog spremnika od korisnika javne usluge;</w:t>
      </w:r>
    </w:p>
    <w:p>
      <w:pPr>
        <w:pStyle w:val="Normal"/>
        <w:numPr>
          <w:ilvl w:val="0"/>
          <w:numId w:val="6"/>
        </w:numPr>
        <w:spacing w:before="0" w:after="24"/>
        <w:ind w:hanging="360" w:left="710" w:right="0"/>
        <w:rPr>
          <w:rFonts w:ascii="Times New Roman" w:hAnsi="Times New Roman"/>
        </w:rPr>
      </w:pPr>
      <w:r>
        <w:rPr>
          <w:rFonts w:cs="Calibri" w:ascii="Times New Roman" w:hAnsi="Times New Roman"/>
          <w:color w:val="111111"/>
          <w:sz w:val="24"/>
          <w:szCs w:val="24"/>
        </w:rPr>
        <w:t>osigurati provjeru da otpad sadržan u spremniku prilikom primopredaje odgovara vrsti otpada čija se primopredaja obavlja;</w:t>
      </w:r>
    </w:p>
    <w:p>
      <w:pPr>
        <w:pStyle w:val="Normal"/>
        <w:numPr>
          <w:ilvl w:val="0"/>
          <w:numId w:val="6"/>
        </w:numPr>
        <w:spacing w:before="0" w:after="24"/>
        <w:ind w:hanging="360" w:left="710" w:right="0"/>
        <w:rPr>
          <w:rFonts w:ascii="Times New Roman" w:hAnsi="Times New Roman"/>
        </w:rPr>
      </w:pPr>
      <w:r>
        <w:rPr>
          <w:rFonts w:cs="Calibri" w:ascii="Times New Roman" w:hAnsi="Times New Roman"/>
          <w:color w:val="111111"/>
          <w:sz w:val="24"/>
          <w:szCs w:val="24"/>
        </w:rPr>
        <w:t xml:space="preserve">osigurati uvjete kojima se ostvaruje pojedinačno korištenje javne usluge, neovisno o broju korisnika koji koriste zajednički spremnik; </w:t>
      </w:r>
    </w:p>
    <w:p>
      <w:pPr>
        <w:pStyle w:val="Normal"/>
        <w:numPr>
          <w:ilvl w:val="0"/>
          <w:numId w:val="6"/>
        </w:numPr>
        <w:spacing w:before="0" w:after="24"/>
        <w:ind w:hanging="360" w:left="710" w:right="0"/>
        <w:rPr>
          <w:rFonts w:ascii="Times New Roman" w:hAnsi="Times New Roman"/>
        </w:rPr>
      </w:pPr>
      <w:r>
        <w:rPr>
          <w:rFonts w:cs="Calibri" w:ascii="Times New Roman" w:hAnsi="Times New Roman"/>
          <w:color w:val="111111"/>
          <w:sz w:val="24"/>
          <w:szCs w:val="24"/>
        </w:rPr>
        <w:t xml:space="preserve">predati sakupljeni reciklabilni otpad  osobi koju odredi Fond za zaštitu okoliša i energetsku učinkovitost (u daljnjem tekstu: Fond); </w:t>
      </w:r>
    </w:p>
    <w:p>
      <w:pPr>
        <w:pStyle w:val="Normal"/>
        <w:numPr>
          <w:ilvl w:val="0"/>
          <w:numId w:val="6"/>
        </w:numPr>
        <w:spacing w:before="0" w:after="24"/>
        <w:ind w:hanging="360" w:left="710" w:right="0"/>
        <w:rPr>
          <w:rFonts w:ascii="Times New Roman" w:hAnsi="Times New Roman"/>
        </w:rPr>
      </w:pPr>
      <w:r>
        <w:rPr>
          <w:rFonts w:cs="Calibri" w:ascii="Times New Roman" w:hAnsi="Times New Roman"/>
          <w:color w:val="111111"/>
          <w:sz w:val="24"/>
          <w:szCs w:val="24"/>
        </w:rPr>
        <w:t xml:space="preserve">voditi evidenciju o preuzetoj količini komunalnog otpada od pojedinog korisnika usluge u obračunskom razdoblju prema kriteriju količine otpada iz članka 5. ove Odluke, u digitalnom obliku (u daljnjem tekstu: evidencija) sukladno članku 18. ove Odluke; sastavni dio evidencije je Izjava korisnika i dokazi o izvršenoj javnoj usluzi; podatci iz evidencije moraju biti dostupni na uvid korisniku usluge na njegov zahtjev; </w:t>
      </w:r>
    </w:p>
    <w:p>
      <w:pPr>
        <w:pStyle w:val="Normal"/>
        <w:numPr>
          <w:ilvl w:val="0"/>
          <w:numId w:val="6"/>
        </w:numPr>
        <w:spacing w:before="0" w:after="24"/>
        <w:ind w:hanging="360" w:left="710" w:right="0"/>
        <w:rPr>
          <w:rFonts w:ascii="Times New Roman" w:hAnsi="Times New Roman"/>
        </w:rPr>
      </w:pPr>
      <w:r>
        <w:rPr>
          <w:rFonts w:cs="Calibri" w:ascii="Times New Roman" w:hAnsi="Times New Roman"/>
          <w:color w:val="111111"/>
          <w:sz w:val="24"/>
          <w:szCs w:val="24"/>
        </w:rPr>
        <w:t xml:space="preserve">izraditi i objaviti u elektroničkom obliku obavijest o sakupljanju komunalnog otpada za područje Općine Marijanci za sljedeću godinu i do 31.12. tekuće godine dostaviti ju korisniku javne usluge u tiskanom obliku, na adresu obračunskog mjesta; </w:t>
      </w:r>
    </w:p>
    <w:p>
      <w:pPr>
        <w:pStyle w:val="Normal"/>
        <w:numPr>
          <w:ilvl w:val="0"/>
          <w:numId w:val="6"/>
        </w:numPr>
        <w:spacing w:before="0" w:after="24"/>
        <w:ind w:hanging="360" w:left="710" w:right="0"/>
        <w:rPr>
          <w:rFonts w:ascii="Times New Roman" w:hAnsi="Times New Roman"/>
        </w:rPr>
      </w:pPr>
      <w:r>
        <w:rPr>
          <w:rFonts w:cs="Calibri" w:ascii="Times New Roman" w:hAnsi="Times New Roman"/>
          <w:color w:val="111111"/>
          <w:sz w:val="24"/>
          <w:szCs w:val="24"/>
        </w:rPr>
        <w:t>educirati i informirati korisnike javne usluge o pravilnom korištenju spremnika za odvojeno sakupljanje otpada;</w:t>
      </w:r>
    </w:p>
    <w:p>
      <w:pPr>
        <w:pStyle w:val="Normal"/>
        <w:numPr>
          <w:ilvl w:val="0"/>
          <w:numId w:val="6"/>
        </w:numPr>
        <w:spacing w:before="0" w:after="24"/>
        <w:ind w:hanging="360" w:left="710" w:right="0"/>
        <w:rPr>
          <w:rFonts w:ascii="Times New Roman" w:hAnsi="Times New Roman"/>
        </w:rPr>
      </w:pPr>
      <w:r>
        <w:rPr>
          <w:rFonts w:cs="Calibri" w:ascii="Times New Roman" w:hAnsi="Times New Roman"/>
          <w:color w:val="111111"/>
          <w:sz w:val="24"/>
          <w:szCs w:val="24"/>
        </w:rPr>
        <w:t xml:space="preserve">izraditi Cjenik javne usluge i objaviti ga na mrežnoj stranici;  </w:t>
      </w:r>
    </w:p>
    <w:p>
      <w:pPr>
        <w:pStyle w:val="Normal"/>
        <w:numPr>
          <w:ilvl w:val="0"/>
          <w:numId w:val="6"/>
        </w:numPr>
        <w:spacing w:lineRule="auto" w:line="247" w:before="0" w:after="472"/>
        <w:ind w:hanging="357" w:left="709" w:right="0"/>
        <w:contextualSpacing/>
        <w:rPr>
          <w:rFonts w:ascii="Times New Roman" w:hAnsi="Times New Roman"/>
        </w:rPr>
      </w:pPr>
      <w:r>
        <w:rPr>
          <w:rFonts w:cs="Calibri" w:ascii="Times New Roman" w:hAnsi="Times New Roman"/>
          <w:color w:val="111111"/>
          <w:sz w:val="24"/>
          <w:szCs w:val="24"/>
        </w:rPr>
        <w:t>obračunati cijenu javne usluge na način propisan Zakonom, ovom Odlukom i Cjenikom; na računu za javnu uslugu navesti sve elemente temeljem kojih je izvršio obračun cijene javne usluge, uključivo i porez na dodanu vrijednost određen sukladno posebnom propisu kojim se utvrđuje porez na dodanu vrijednost.</w:t>
      </w:r>
    </w:p>
    <w:p>
      <w:pPr>
        <w:pStyle w:val="Normal"/>
        <w:spacing w:lineRule="auto" w:line="247" w:before="0" w:after="24"/>
        <w:ind w:hanging="0" w:left="709" w:right="0"/>
        <w:contextualSpacing/>
        <w:rPr/>
      </w:pPr>
      <w:r>
        <w:rPr/>
      </w:r>
    </w:p>
    <w:p>
      <w:pPr>
        <w:pStyle w:val="Normal"/>
        <w:spacing w:lineRule="auto" w:line="247" w:before="0" w:after="24"/>
        <w:ind w:hanging="0" w:left="709" w:right="0"/>
        <w:contextualSpacing/>
        <w:rPr>
          <w:rFonts w:ascii="Times New Roman" w:hAnsi="Times New Roman" w:cs="Calibri"/>
          <w:color w:val="111111"/>
          <w:sz w:val="24"/>
          <w:szCs w:val="24"/>
        </w:rPr>
      </w:pPr>
      <w:r>
        <w:rPr>
          <w:rFonts w:cs="Calibri" w:ascii="Times New Roman" w:hAnsi="Times New Roman"/>
          <w:color w:val="111111"/>
          <w:sz w:val="24"/>
          <w:szCs w:val="24"/>
        </w:rPr>
      </w:r>
    </w:p>
    <w:p>
      <w:pPr>
        <w:pStyle w:val="Heading2"/>
        <w:ind w:hanging="10" w:left="-5" w:right="0"/>
        <w:rPr>
          <w:rFonts w:ascii="Times New Roman" w:hAnsi="Times New Roman"/>
        </w:rPr>
      </w:pPr>
      <w:r>
        <w:rPr>
          <w:rFonts w:cs="Calibri" w:ascii="Times New Roman" w:hAnsi="Times New Roman"/>
          <w:color w:val="111111"/>
          <w:sz w:val="24"/>
          <w:szCs w:val="24"/>
        </w:rPr>
        <w:t>Obveze korisnika javne usluge</w:t>
      </w:r>
      <w:r>
        <w:rPr>
          <w:rFonts w:cs="Calibri" w:ascii="Times New Roman" w:hAnsi="Times New Roman"/>
          <w:color w:val="111111"/>
          <w:sz w:val="24"/>
          <w:szCs w:val="24"/>
          <w:u w:val="none"/>
        </w:rPr>
        <w:t xml:space="preserve"> </w:t>
      </w:r>
    </w:p>
    <w:p>
      <w:pPr>
        <w:pStyle w:val="Normal"/>
        <w:spacing w:before="0" w:after="0"/>
        <w:ind w:firstLine="4064" w:left="-15" w:right="3307"/>
        <w:rPr>
          <w:rFonts w:ascii="Times New Roman" w:hAnsi="Times New Roman"/>
        </w:rPr>
      </w:pPr>
      <w:r>
        <w:rPr>
          <w:rFonts w:cs="Calibri" w:ascii="Times New Roman" w:hAnsi="Times New Roman"/>
          <w:b/>
          <w:color w:val="111111"/>
          <w:sz w:val="24"/>
          <w:szCs w:val="24"/>
        </w:rPr>
        <w:t xml:space="preserve">Članak 15. </w:t>
      </w:r>
    </w:p>
    <w:p>
      <w:pPr>
        <w:pStyle w:val="Normal"/>
        <w:spacing w:before="0" w:after="139"/>
        <w:ind w:hanging="0" w:left="-15" w:right="3307"/>
        <w:rPr>
          <w:rFonts w:ascii="Times New Roman" w:hAnsi="Times New Roman"/>
        </w:rPr>
      </w:pPr>
      <w:r>
        <w:rPr>
          <w:rFonts w:cs="Calibri" w:ascii="Times New Roman" w:hAnsi="Times New Roman"/>
          <w:color w:val="111111"/>
          <w:sz w:val="24"/>
          <w:szCs w:val="24"/>
        </w:rPr>
        <w:t xml:space="preserve">Korisnik javne usluge dužan je: </w:t>
      </w:r>
    </w:p>
    <w:p>
      <w:pPr>
        <w:pStyle w:val="Normal"/>
        <w:numPr>
          <w:ilvl w:val="0"/>
          <w:numId w:val="7"/>
        </w:numPr>
        <w:spacing w:before="0" w:after="24"/>
        <w:ind w:hanging="360" w:left="713" w:right="0"/>
        <w:rPr>
          <w:rFonts w:ascii="Times New Roman" w:hAnsi="Times New Roman"/>
        </w:rPr>
      </w:pPr>
      <w:r>
        <w:rPr>
          <w:rFonts w:cs="Calibri" w:ascii="Times New Roman" w:hAnsi="Times New Roman"/>
          <w:color w:val="111111"/>
          <w:sz w:val="24"/>
          <w:szCs w:val="24"/>
        </w:rPr>
        <w:t>koristiti javnu uslugu na području na kojem se nalazi nekretnina korisnika usluge na način da proizvedeni komunalni otpad predaje putem primarnih spremnika, odvojeno po vrstama u odgovarajuće spremnike za miješani komunalni otpad, biootpad i reciklabilni komunalni otpad;</w:t>
      </w:r>
    </w:p>
    <w:p>
      <w:pPr>
        <w:pStyle w:val="Normal"/>
        <w:numPr>
          <w:ilvl w:val="0"/>
          <w:numId w:val="7"/>
        </w:numPr>
        <w:spacing w:before="0" w:after="24"/>
        <w:ind w:hanging="360" w:left="713" w:right="0"/>
        <w:rPr>
          <w:rFonts w:ascii="Times New Roman" w:hAnsi="Times New Roman"/>
        </w:rPr>
      </w:pPr>
      <w:r>
        <w:rPr>
          <w:rFonts w:cs="Calibri" w:ascii="Times New Roman" w:hAnsi="Times New Roman"/>
          <w:color w:val="111111"/>
          <w:sz w:val="24"/>
          <w:szCs w:val="24"/>
        </w:rPr>
        <w:t>omogućiti davatelju javne usluge pristup spremniku na mjestu primopredaje otpada kad to mjesto nije na javnoj površini;</w:t>
      </w:r>
    </w:p>
    <w:p>
      <w:pPr>
        <w:pStyle w:val="Normal"/>
        <w:numPr>
          <w:ilvl w:val="0"/>
          <w:numId w:val="7"/>
        </w:numPr>
        <w:spacing w:before="0" w:after="24"/>
        <w:ind w:hanging="360" w:left="713" w:right="0"/>
        <w:rPr>
          <w:rFonts w:ascii="Times New Roman" w:hAnsi="Times New Roman"/>
        </w:rPr>
      </w:pPr>
      <w:r>
        <w:rPr>
          <w:rFonts w:cs="Calibri" w:ascii="Times New Roman" w:hAnsi="Times New Roman"/>
          <w:color w:val="111111"/>
          <w:sz w:val="24"/>
          <w:szCs w:val="24"/>
        </w:rPr>
        <w:t xml:space="preserve">postupati s otpadom na obračunskom mjestu korisnika javne usluge na način kojim se ne dovodi u opasnost ljudsko zdravlje, ne dovodi do rasipanja otpada oko spremnika i ne uzrokuje pojava neugode trećim osobama zbog mirisa ili drugih štetnih svojstava otpada; </w:t>
      </w:r>
    </w:p>
    <w:p>
      <w:pPr>
        <w:pStyle w:val="Normal"/>
        <w:numPr>
          <w:ilvl w:val="0"/>
          <w:numId w:val="7"/>
        </w:numPr>
        <w:spacing w:before="0" w:after="24"/>
        <w:ind w:hanging="360" w:left="713" w:right="0"/>
        <w:rPr>
          <w:rFonts w:ascii="Times New Roman" w:hAnsi="Times New Roman"/>
        </w:rPr>
      </w:pPr>
      <w:r>
        <w:rPr>
          <w:rFonts w:cs="Calibri" w:ascii="Times New Roman" w:hAnsi="Times New Roman"/>
          <w:color w:val="111111"/>
          <w:sz w:val="24"/>
          <w:szCs w:val="24"/>
        </w:rPr>
        <w:t xml:space="preserve">odgovarati za postupanje s otpadom i spremnikom na obračunskom mjestu korisnika javne usluge te, kad više korisnika koristi zajednički spremnik, zajedno s ostalim korisnicima javne usluge na istom obračunskom mjestu odgovarati za obveze nastale zajedničkim korištenjem spremnika; </w:t>
      </w:r>
    </w:p>
    <w:p>
      <w:pPr>
        <w:pStyle w:val="Normal"/>
        <w:numPr>
          <w:ilvl w:val="0"/>
          <w:numId w:val="7"/>
        </w:numPr>
        <w:spacing w:before="0" w:after="24"/>
        <w:ind w:hanging="360" w:left="713" w:right="0"/>
        <w:rPr>
          <w:rFonts w:ascii="Times New Roman" w:hAnsi="Times New Roman"/>
        </w:rPr>
      </w:pPr>
      <w:r>
        <w:rPr>
          <w:rFonts w:cs="Calibri" w:ascii="Times New Roman" w:hAnsi="Times New Roman"/>
          <w:color w:val="111111"/>
          <w:sz w:val="24"/>
          <w:szCs w:val="24"/>
        </w:rPr>
        <w:t>platiti redovito davatelju javne usluge iznos cijene javne usluge za obračunsko mjesto i obračunsko razdoblje, u skladu s važećim Cjenikom, osim za obračunsko mjesto na kojem je nekretnina koja se trajno ne koristi;</w:t>
      </w:r>
    </w:p>
    <w:p>
      <w:pPr>
        <w:pStyle w:val="Normal"/>
        <w:numPr>
          <w:ilvl w:val="0"/>
          <w:numId w:val="7"/>
        </w:numPr>
        <w:spacing w:before="0" w:after="24"/>
        <w:ind w:hanging="360" w:left="713" w:right="0"/>
        <w:rPr>
          <w:rFonts w:ascii="Times New Roman" w:hAnsi="Times New Roman"/>
        </w:rPr>
      </w:pPr>
      <w:r>
        <w:rPr>
          <w:rFonts w:cs="Calibri" w:ascii="Times New Roman" w:hAnsi="Times New Roman"/>
          <w:color w:val="111111"/>
          <w:sz w:val="24"/>
          <w:szCs w:val="24"/>
        </w:rPr>
        <w:t xml:space="preserve">predati opasni i problematični komunalni otpad u reciklažnom dvorištu  ili mobilnom reciklažnom dvorištu, odnosno postupati s istim u skladu s propisom kojim se uređuje gospodarenje posebnom kategorijom otpada, osim korisnika koji nije kućanstvo; </w:t>
      </w:r>
    </w:p>
    <w:p>
      <w:pPr>
        <w:pStyle w:val="Normal"/>
        <w:numPr>
          <w:ilvl w:val="0"/>
          <w:numId w:val="7"/>
        </w:numPr>
        <w:spacing w:before="0" w:after="24"/>
        <w:ind w:hanging="360" w:left="713" w:right="0"/>
        <w:rPr>
          <w:rFonts w:ascii="Times New Roman" w:hAnsi="Times New Roman"/>
        </w:rPr>
      </w:pPr>
      <w:r>
        <w:rPr>
          <w:rFonts w:cs="Calibri" w:ascii="Times New Roman" w:hAnsi="Times New Roman"/>
          <w:color w:val="111111"/>
          <w:sz w:val="24"/>
          <w:szCs w:val="24"/>
        </w:rPr>
        <w:t xml:space="preserve">predati odvojeno biootpad putem odgovarajućeg spremnika ili kompostirati biootpad na mjestu nastanka; </w:t>
      </w:r>
    </w:p>
    <w:p>
      <w:pPr>
        <w:pStyle w:val="Normal"/>
        <w:numPr>
          <w:ilvl w:val="0"/>
          <w:numId w:val="7"/>
        </w:numPr>
        <w:spacing w:before="0" w:after="24"/>
        <w:ind w:hanging="360" w:left="713" w:right="0"/>
        <w:rPr>
          <w:rFonts w:ascii="Times New Roman" w:hAnsi="Times New Roman"/>
        </w:rPr>
      </w:pPr>
      <w:r>
        <w:rPr>
          <w:rFonts w:cs="Calibri" w:ascii="Times New Roman" w:hAnsi="Times New Roman"/>
          <w:color w:val="111111"/>
          <w:sz w:val="24"/>
          <w:szCs w:val="24"/>
        </w:rPr>
        <w:t xml:space="preserve">preuzeti od davatelja javne usluge standardizirane spremnike za otpad, pa iste spremnike držati na mjestu određenom za njihovo držanje na način da se njihovom uporabom ne ometaju drugi korisnici nekretnine, korisnici susjednih nekretnina ili korisnici javnih površina u okolici nekretnine; </w:t>
      </w:r>
    </w:p>
    <w:p>
      <w:pPr>
        <w:pStyle w:val="Normal"/>
        <w:numPr>
          <w:ilvl w:val="0"/>
          <w:numId w:val="7"/>
        </w:numPr>
        <w:spacing w:before="0" w:after="24"/>
        <w:ind w:hanging="360" w:left="713" w:right="0"/>
        <w:rPr>
          <w:rFonts w:ascii="Times New Roman" w:hAnsi="Times New Roman"/>
        </w:rPr>
      </w:pPr>
      <w:r>
        <w:rPr>
          <w:rFonts w:cs="Calibri" w:ascii="Times New Roman" w:hAnsi="Times New Roman"/>
          <w:color w:val="111111"/>
          <w:sz w:val="24"/>
          <w:szCs w:val="24"/>
        </w:rPr>
        <w:t>omogućiti davatelju javne usluge označavanje spremnika odgovarajućim natpisom i oznakama;</w:t>
      </w:r>
    </w:p>
    <w:p>
      <w:pPr>
        <w:pStyle w:val="Normal"/>
        <w:numPr>
          <w:ilvl w:val="0"/>
          <w:numId w:val="7"/>
        </w:numPr>
        <w:spacing w:before="0" w:after="24"/>
        <w:ind w:hanging="360" w:left="713" w:right="0"/>
        <w:rPr>
          <w:rFonts w:ascii="Times New Roman" w:hAnsi="Times New Roman"/>
        </w:rPr>
      </w:pPr>
      <w:r>
        <w:rPr>
          <w:rFonts w:cs="Calibri" w:ascii="Times New Roman" w:hAnsi="Times New Roman"/>
          <w:color w:val="111111"/>
          <w:sz w:val="24"/>
          <w:szCs w:val="24"/>
        </w:rPr>
        <w:t>dostaviti davatelju javne usluge popunjenu Izjavu o načinu korištenja javne usluge (u daljnjem tekstu: Izjava) iz članka 17. ove Odluke.</w:t>
      </w:r>
    </w:p>
    <w:p>
      <w:pPr>
        <w:pStyle w:val="Normal"/>
        <w:spacing w:before="0" w:after="24"/>
        <w:ind w:hanging="0" w:left="353" w:right="0"/>
        <w:rPr>
          <w:rFonts w:ascii="Times New Roman" w:hAnsi="Times New Roman" w:cs="Calibri"/>
          <w:color w:val="111111"/>
          <w:sz w:val="24"/>
          <w:szCs w:val="24"/>
        </w:rPr>
      </w:pPr>
      <w:r>
        <w:rPr>
          <w:rFonts w:cs="Calibri" w:ascii="Times New Roman" w:hAnsi="Times New Roman"/>
          <w:color w:val="111111"/>
          <w:sz w:val="24"/>
          <w:szCs w:val="24"/>
        </w:rPr>
      </w:r>
    </w:p>
    <w:p>
      <w:pPr>
        <w:pStyle w:val="Normal"/>
        <w:spacing w:lineRule="atLeast" w:line="240"/>
        <w:jc w:val="left"/>
        <w:rPr>
          <w:rFonts w:ascii="Times New Roman" w:hAnsi="Times New Roman" w:eastAsia="Times New Roman" w:cs="Calibri"/>
          <w:color w:val="111111"/>
          <w:sz w:val="24"/>
          <w:szCs w:val="24"/>
        </w:rPr>
      </w:pPr>
      <w:r>
        <w:rPr>
          <w:rFonts w:eastAsia="Times New Roman" w:cs="Calibri" w:ascii="Times New Roman" w:hAnsi="Times New Roman"/>
          <w:color w:val="111111"/>
          <w:sz w:val="24"/>
          <w:szCs w:val="24"/>
        </w:rPr>
      </w:r>
    </w:p>
    <w:p>
      <w:pPr>
        <w:pStyle w:val="Heading2"/>
        <w:ind w:hanging="10" w:left="-5" w:right="0"/>
        <w:rPr>
          <w:rFonts w:ascii="Times New Roman" w:hAnsi="Times New Roman"/>
        </w:rPr>
      </w:pPr>
      <w:r>
        <w:rPr>
          <w:rFonts w:cs="Calibri" w:ascii="Times New Roman" w:hAnsi="Times New Roman"/>
          <w:color w:val="111111"/>
          <w:sz w:val="24"/>
          <w:szCs w:val="24"/>
        </w:rPr>
        <w:t>Informiranje korisnika javne usluge o načinu djelovanja sustava gospodarenja otpadom</w:t>
      </w:r>
    </w:p>
    <w:p>
      <w:pPr>
        <w:pStyle w:val="Normal"/>
        <w:ind w:hanging="10" w:left="-5" w:right="0"/>
        <w:jc w:val="center"/>
        <w:rPr>
          <w:rFonts w:ascii="Times New Roman" w:hAnsi="Times New Roman"/>
          <w:b/>
          <w:bCs/>
          <w:sz w:val="24"/>
          <w:szCs w:val="24"/>
        </w:rPr>
      </w:pPr>
      <w:r>
        <w:rPr>
          <w:rFonts w:ascii="Times New Roman" w:hAnsi="Times New Roman"/>
          <w:b/>
          <w:bCs/>
          <w:sz w:val="24"/>
          <w:szCs w:val="24"/>
        </w:rPr>
        <w:t>Članak 16.</w:t>
      </w:r>
    </w:p>
    <w:p>
      <w:pPr>
        <w:pStyle w:val="Normal"/>
        <w:ind w:hanging="10" w:left="-5" w:right="0"/>
        <w:jc w:val="both"/>
        <w:rPr>
          <w:rFonts w:ascii="Times New Roman" w:hAnsi="Times New Roman"/>
          <w:b w:val="false"/>
          <w:bCs w:val="false"/>
          <w:sz w:val="24"/>
          <w:szCs w:val="24"/>
        </w:rPr>
      </w:pPr>
      <w:r>
        <w:rPr>
          <w:rFonts w:ascii="Times New Roman" w:hAnsi="Times New Roman"/>
          <w:b w:val="false"/>
          <w:bCs w:val="false"/>
          <w:sz w:val="24"/>
          <w:szCs w:val="24"/>
        </w:rPr>
        <w:t>(1) Općina Marijanci i davatelj javne usluge na svojim mrežnim stranicama objavljuju i ažurno održavaju popis koji sadrži najmanje sljedeće informacije:</w:t>
      </w:r>
    </w:p>
    <w:p>
      <w:pPr>
        <w:pStyle w:val="Normal"/>
        <w:numPr>
          <w:ilvl w:val="0"/>
          <w:numId w:val="12"/>
        </w:numPr>
        <w:ind w:hanging="360" w:left="705" w:right="0"/>
        <w:jc w:val="both"/>
        <w:rPr>
          <w:rFonts w:ascii="Times New Roman" w:hAnsi="Times New Roman"/>
          <w:b w:val="false"/>
          <w:bCs w:val="false"/>
          <w:sz w:val="24"/>
          <w:szCs w:val="24"/>
        </w:rPr>
      </w:pPr>
      <w:r>
        <w:rPr>
          <w:rFonts w:ascii="Times New Roman" w:hAnsi="Times New Roman"/>
          <w:b w:val="false"/>
          <w:bCs w:val="false"/>
          <w:sz w:val="24"/>
          <w:szCs w:val="24"/>
        </w:rPr>
        <w:t>lokacije mobilnih i izgrađenih reciklažnih dvorišta po naseljima, s uputama o vrastama otpada koje se u njima preuzimaju i načinu preuzimanja te raspored korištenja mobilnog reciklažnog dvorišta po naseljima;</w:t>
      </w:r>
    </w:p>
    <w:p>
      <w:pPr>
        <w:pStyle w:val="Normal"/>
        <w:numPr>
          <w:ilvl w:val="0"/>
          <w:numId w:val="12"/>
        </w:numPr>
        <w:ind w:hanging="360" w:left="705" w:right="0"/>
        <w:jc w:val="both"/>
        <w:rPr>
          <w:rFonts w:ascii="Times New Roman" w:hAnsi="Times New Roman"/>
          <w:b w:val="false"/>
          <w:bCs w:val="false"/>
          <w:sz w:val="24"/>
          <w:szCs w:val="24"/>
        </w:rPr>
      </w:pPr>
      <w:r>
        <w:rPr>
          <w:rFonts w:ascii="Times New Roman" w:hAnsi="Times New Roman"/>
          <w:b w:val="false"/>
          <w:bCs w:val="false"/>
          <w:sz w:val="24"/>
          <w:szCs w:val="24"/>
        </w:rPr>
        <w:t>raspored odvoza pojedinih vrsta komunalnog otpada sa obračunskog mjesta korisnika javne usluge i upute za odvojeno prikupljanje pojedinih vrsta komunalnog otpada;</w:t>
      </w:r>
    </w:p>
    <w:p>
      <w:pPr>
        <w:pStyle w:val="Normal"/>
        <w:numPr>
          <w:ilvl w:val="0"/>
          <w:numId w:val="12"/>
        </w:numPr>
        <w:ind w:hanging="360" w:left="705" w:right="0"/>
        <w:jc w:val="both"/>
        <w:rPr>
          <w:rFonts w:ascii="Times New Roman" w:hAnsi="Times New Roman"/>
          <w:b w:val="false"/>
          <w:bCs w:val="false"/>
          <w:sz w:val="24"/>
          <w:szCs w:val="24"/>
        </w:rPr>
      </w:pPr>
      <w:r>
        <w:rPr>
          <w:rFonts w:ascii="Times New Roman" w:hAnsi="Times New Roman"/>
          <w:b w:val="false"/>
          <w:bCs w:val="false"/>
          <w:sz w:val="24"/>
          <w:szCs w:val="24"/>
        </w:rPr>
        <w:t>upute za odvor glomaznog komunalnog otpada po pozivu;</w:t>
      </w:r>
    </w:p>
    <w:p>
      <w:pPr>
        <w:pStyle w:val="Normal"/>
        <w:numPr>
          <w:ilvl w:val="0"/>
          <w:numId w:val="12"/>
        </w:numPr>
        <w:ind w:hanging="360" w:left="705" w:right="0"/>
        <w:jc w:val="both"/>
        <w:rPr>
          <w:rFonts w:ascii="Times New Roman" w:hAnsi="Times New Roman"/>
          <w:b w:val="false"/>
          <w:bCs w:val="false"/>
          <w:sz w:val="24"/>
          <w:szCs w:val="24"/>
        </w:rPr>
      </w:pPr>
      <w:r>
        <w:rPr>
          <w:rFonts w:ascii="Times New Roman" w:hAnsi="Times New Roman"/>
          <w:b w:val="false"/>
          <w:bCs w:val="false"/>
          <w:sz w:val="24"/>
          <w:szCs w:val="24"/>
        </w:rPr>
        <w:t>upute za kućno kompostiranje otpada.</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t>(2) Općina Marijanci dužna je o svome trošku, na odgovarajući način osigurati godišnju provedbu informativnih aktivnosti u svezi gospodarenja otpadom na svojem području, a osobito najmanje jednu informativnu publikaciju o gospodarenju otpadom. Općina Marijanci dužna je u sklopu svoje mrežne stranice uspostaviti i ažurno održavati mrežne stranice sa svim bitnim informacijama o gospodarenju otpadom na svojem području.</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t>(3) Informacije iz stavka 1. ovoga članka davatelj javne usluge dužan je najmanje jednom godišnje, najkasnije do 31.12. tekuće godine za sljedeću godinu, dostaviti korisnicima usluge i u tiskanom obliku kao obavijest o odvozu komunalnog otpada.</w:t>
      </w:r>
    </w:p>
    <w:p>
      <w:pPr>
        <w:pStyle w:val="Normal"/>
        <w:spacing w:before="57" w:after="80"/>
        <w:ind w:hanging="10" w:left="-5" w:right="0"/>
        <w:jc w:val="both"/>
        <w:rPr/>
      </w:pPr>
      <w:r>
        <w:rPr/>
      </w:r>
    </w:p>
    <w:p>
      <w:pPr>
        <w:pStyle w:val="Heading2"/>
        <w:ind w:hanging="10" w:left="-5" w:right="0"/>
        <w:rPr>
          <w:rFonts w:ascii="Times New Roman" w:hAnsi="Times New Roman"/>
        </w:rPr>
      </w:pPr>
      <w:r>
        <w:rPr>
          <w:rFonts w:cs="Calibri" w:ascii="Times New Roman" w:hAnsi="Times New Roman"/>
          <w:color w:val="111111"/>
          <w:sz w:val="24"/>
          <w:szCs w:val="24"/>
        </w:rPr>
        <w:t>Prikupljanje i pohrana podataka te prihvatljivi dokaz izvršenja javne usluge za pojedinačnog korisnika javne usluge</w:t>
      </w:r>
    </w:p>
    <w:p>
      <w:pPr>
        <w:pStyle w:val="Normal"/>
        <w:ind w:hanging="10" w:left="-5" w:right="0"/>
        <w:jc w:val="center"/>
        <w:rPr>
          <w:rFonts w:ascii="Times New Roman" w:hAnsi="Times New Roman"/>
          <w:b/>
          <w:bCs/>
          <w:sz w:val="24"/>
          <w:szCs w:val="24"/>
        </w:rPr>
      </w:pPr>
      <w:r>
        <w:rPr>
          <w:rFonts w:ascii="Times New Roman" w:hAnsi="Times New Roman"/>
          <w:b/>
          <w:bCs/>
          <w:sz w:val="24"/>
          <w:szCs w:val="24"/>
        </w:rPr>
        <w:t>Članak 17.</w:t>
      </w:r>
    </w:p>
    <w:p>
      <w:pPr>
        <w:pStyle w:val="Normal"/>
        <w:ind w:hanging="10" w:left="-5" w:right="0"/>
        <w:jc w:val="both"/>
        <w:rPr>
          <w:rFonts w:ascii="Times New Roman" w:hAnsi="Times New Roman"/>
          <w:b w:val="false"/>
          <w:bCs w:val="false"/>
          <w:sz w:val="24"/>
          <w:szCs w:val="24"/>
        </w:rPr>
      </w:pPr>
      <w:r>
        <w:rPr>
          <w:rFonts w:ascii="Times New Roman" w:hAnsi="Times New Roman"/>
          <w:b w:val="false"/>
          <w:bCs w:val="false"/>
          <w:sz w:val="24"/>
          <w:szCs w:val="24"/>
        </w:rPr>
        <w:t>(1) Korisnik javne usluge dužan je dostaviti davatelju javne usluge Izjavu o načinu korištenja javne usluge. Izjava o načinu korištenja javne usluge je obrazac kojim se korisnik javne usluge i davatelj javne usluge usuglašavaju o bitnim sastojcima Ugovora.</w:t>
      </w:r>
    </w:p>
    <w:p>
      <w:pPr>
        <w:pStyle w:val="Normal"/>
        <w:ind w:hanging="10" w:left="-5" w:right="0"/>
        <w:jc w:val="both"/>
        <w:rPr>
          <w:rFonts w:ascii="Times New Roman" w:hAnsi="Times New Roman"/>
          <w:b w:val="false"/>
          <w:bCs w:val="false"/>
          <w:sz w:val="24"/>
          <w:szCs w:val="24"/>
        </w:rPr>
      </w:pPr>
      <w:r>
        <w:rPr>
          <w:rFonts w:ascii="Times New Roman" w:hAnsi="Times New Roman"/>
          <w:b w:val="false"/>
          <w:bCs w:val="false"/>
          <w:sz w:val="24"/>
          <w:szCs w:val="24"/>
        </w:rPr>
        <w:t>(2) Izjava se daje na obrascu koji korisnik javne usluge dostavlja davatelju javne usluge, a koji sadrži sljedeće podatke:</w:t>
      </w:r>
    </w:p>
    <w:p>
      <w:pPr>
        <w:pStyle w:val="Normal"/>
        <w:numPr>
          <w:ilvl w:val="0"/>
          <w:numId w:val="13"/>
        </w:numPr>
        <w:ind w:hanging="360" w:left="705" w:right="0"/>
        <w:jc w:val="both"/>
        <w:rPr>
          <w:rFonts w:ascii="Times New Roman" w:hAnsi="Times New Roman"/>
          <w:b w:val="false"/>
          <w:bCs w:val="false"/>
          <w:sz w:val="24"/>
          <w:szCs w:val="24"/>
        </w:rPr>
      </w:pPr>
      <w:r>
        <w:rPr>
          <w:rFonts w:ascii="Times New Roman" w:hAnsi="Times New Roman"/>
          <w:b w:val="false"/>
          <w:bCs w:val="false"/>
          <w:sz w:val="24"/>
          <w:szCs w:val="24"/>
        </w:rPr>
        <w:t>adresu/lokaciju obračunskog mjesta,</w:t>
      </w:r>
    </w:p>
    <w:p>
      <w:pPr>
        <w:pStyle w:val="Normal"/>
        <w:numPr>
          <w:ilvl w:val="0"/>
          <w:numId w:val="13"/>
        </w:numPr>
        <w:ind w:hanging="360" w:left="705" w:right="0"/>
        <w:jc w:val="both"/>
        <w:rPr>
          <w:rFonts w:ascii="Times New Roman" w:hAnsi="Times New Roman"/>
          <w:b w:val="false"/>
          <w:bCs w:val="false"/>
          <w:sz w:val="24"/>
          <w:szCs w:val="24"/>
        </w:rPr>
      </w:pPr>
      <w:r>
        <w:rPr>
          <w:rFonts w:ascii="Times New Roman" w:hAnsi="Times New Roman"/>
          <w:b w:val="false"/>
          <w:bCs w:val="false"/>
          <w:sz w:val="24"/>
          <w:szCs w:val="24"/>
        </w:rPr>
        <w:t>podatke o korisniku javne usluge (ime i prezime ili naziv pravne osobe ili fizičke osobe – obrtnika, OIB te adresu prebivališta/sjedišta),</w:t>
      </w:r>
    </w:p>
    <w:p>
      <w:pPr>
        <w:pStyle w:val="Normal"/>
        <w:numPr>
          <w:ilvl w:val="0"/>
          <w:numId w:val="13"/>
        </w:numPr>
        <w:ind w:hanging="360" w:left="705" w:right="0"/>
        <w:jc w:val="both"/>
        <w:rPr>
          <w:rFonts w:ascii="Times New Roman" w:hAnsi="Times New Roman"/>
          <w:b w:val="false"/>
          <w:bCs w:val="false"/>
          <w:sz w:val="24"/>
          <w:szCs w:val="24"/>
        </w:rPr>
      </w:pPr>
      <w:r>
        <w:rPr>
          <w:rFonts w:ascii="Times New Roman" w:hAnsi="Times New Roman"/>
          <w:b w:val="false"/>
          <w:bCs w:val="false"/>
          <w:sz w:val="24"/>
          <w:szCs w:val="24"/>
        </w:rPr>
        <w:t>kategoriju korisnika javne usluge,</w:t>
      </w:r>
    </w:p>
    <w:p>
      <w:pPr>
        <w:pStyle w:val="Normal"/>
        <w:numPr>
          <w:ilvl w:val="0"/>
          <w:numId w:val="13"/>
        </w:numPr>
        <w:ind w:hanging="360" w:left="705" w:right="0"/>
        <w:jc w:val="both"/>
        <w:rPr>
          <w:rFonts w:ascii="Times New Roman" w:hAnsi="Times New Roman"/>
          <w:b w:val="false"/>
          <w:bCs w:val="false"/>
          <w:sz w:val="24"/>
          <w:szCs w:val="24"/>
        </w:rPr>
      </w:pPr>
      <w:r>
        <w:rPr>
          <w:rFonts w:ascii="Times New Roman" w:hAnsi="Times New Roman"/>
          <w:b w:val="false"/>
          <w:bCs w:val="false"/>
          <w:sz w:val="24"/>
          <w:szCs w:val="24"/>
        </w:rPr>
        <w:t>udio u korištenju spremnika za miješani komunalni otpad,</w:t>
      </w:r>
    </w:p>
    <w:p>
      <w:pPr>
        <w:pStyle w:val="Normal"/>
        <w:numPr>
          <w:ilvl w:val="0"/>
          <w:numId w:val="13"/>
        </w:numPr>
        <w:ind w:hanging="360" w:left="705" w:right="0"/>
        <w:jc w:val="both"/>
        <w:rPr>
          <w:rFonts w:ascii="Times New Roman" w:hAnsi="Times New Roman"/>
          <w:b w:val="false"/>
          <w:bCs w:val="false"/>
          <w:sz w:val="24"/>
          <w:szCs w:val="24"/>
        </w:rPr>
      </w:pPr>
      <w:r>
        <w:rPr>
          <w:rFonts w:ascii="Times New Roman" w:hAnsi="Times New Roman"/>
          <w:b w:val="false"/>
          <w:bCs w:val="false"/>
          <w:sz w:val="24"/>
          <w:szCs w:val="24"/>
        </w:rPr>
        <w:t>vrstu, zapreminu i broj spremnika koje će koristiti, sukladno članku 7. ove Odluke, ili očitovanje o sklapanju posebnog ugovora o korištenju javne usluge za kategoriju korisnika koji nije kućanstvo,</w:t>
      </w:r>
    </w:p>
    <w:p>
      <w:pPr>
        <w:pStyle w:val="Normal"/>
        <w:numPr>
          <w:ilvl w:val="0"/>
          <w:numId w:val="13"/>
        </w:numPr>
        <w:ind w:hanging="360" w:left="705" w:right="0"/>
        <w:jc w:val="both"/>
        <w:rPr>
          <w:rFonts w:ascii="Times New Roman" w:hAnsi="Times New Roman"/>
          <w:b w:val="false"/>
          <w:bCs w:val="false"/>
          <w:sz w:val="24"/>
          <w:szCs w:val="24"/>
        </w:rPr>
      </w:pPr>
      <w:r>
        <w:rPr>
          <w:rFonts w:ascii="Times New Roman" w:hAnsi="Times New Roman"/>
          <w:b w:val="false"/>
          <w:bCs w:val="false"/>
          <w:sz w:val="24"/>
          <w:szCs w:val="24"/>
        </w:rPr>
        <w:t>broj planiranih primopredaja miješanog komunalnog otpada u obračunskom razdoblju,</w:t>
      </w:r>
    </w:p>
    <w:p>
      <w:pPr>
        <w:pStyle w:val="Normal"/>
        <w:numPr>
          <w:ilvl w:val="0"/>
          <w:numId w:val="13"/>
        </w:numPr>
        <w:ind w:hanging="360" w:left="705" w:right="0"/>
        <w:jc w:val="both"/>
        <w:rPr>
          <w:rFonts w:ascii="Times New Roman" w:hAnsi="Times New Roman"/>
          <w:b w:val="false"/>
          <w:bCs w:val="false"/>
          <w:sz w:val="24"/>
          <w:szCs w:val="24"/>
        </w:rPr>
      </w:pPr>
      <w:r>
        <w:rPr>
          <w:rFonts w:ascii="Times New Roman" w:hAnsi="Times New Roman"/>
          <w:b w:val="false"/>
          <w:bCs w:val="false"/>
          <w:sz w:val="24"/>
          <w:szCs w:val="24"/>
        </w:rPr>
        <w:t>očitovanje o kompostiranju biootpada,</w:t>
      </w:r>
    </w:p>
    <w:p>
      <w:pPr>
        <w:pStyle w:val="Normal"/>
        <w:numPr>
          <w:ilvl w:val="0"/>
          <w:numId w:val="13"/>
        </w:numPr>
        <w:ind w:hanging="360" w:left="705" w:right="0"/>
        <w:jc w:val="both"/>
        <w:rPr>
          <w:rFonts w:ascii="Times New Roman" w:hAnsi="Times New Roman"/>
          <w:b w:val="false"/>
          <w:bCs w:val="false"/>
          <w:sz w:val="24"/>
          <w:szCs w:val="24"/>
        </w:rPr>
      </w:pPr>
      <w:r>
        <w:rPr>
          <w:rFonts w:ascii="Times New Roman" w:hAnsi="Times New Roman"/>
          <w:b w:val="false"/>
          <w:bCs w:val="false"/>
          <w:sz w:val="24"/>
          <w:szCs w:val="24"/>
        </w:rPr>
        <w:t>očitovanje o trajnom nekorištenju nekretnine,</w:t>
      </w:r>
    </w:p>
    <w:p>
      <w:pPr>
        <w:pStyle w:val="Normal"/>
        <w:numPr>
          <w:ilvl w:val="0"/>
          <w:numId w:val="13"/>
        </w:numPr>
        <w:ind w:hanging="360" w:left="705" w:right="0"/>
        <w:jc w:val="both"/>
        <w:rPr>
          <w:rFonts w:ascii="Times New Roman" w:hAnsi="Times New Roman"/>
          <w:b w:val="false"/>
          <w:bCs w:val="false"/>
          <w:sz w:val="24"/>
          <w:szCs w:val="24"/>
        </w:rPr>
      </w:pPr>
      <w:r>
        <w:rPr>
          <w:rFonts w:ascii="Times New Roman" w:hAnsi="Times New Roman"/>
          <w:b w:val="false"/>
          <w:bCs w:val="false"/>
          <w:sz w:val="24"/>
          <w:szCs w:val="24"/>
        </w:rPr>
        <w:t>obavijest davatelja javne usluge o uvjetima pod kojima se Ugovor smatra sklopljenim,</w:t>
      </w:r>
    </w:p>
    <w:p>
      <w:pPr>
        <w:pStyle w:val="Normal"/>
        <w:numPr>
          <w:ilvl w:val="0"/>
          <w:numId w:val="13"/>
        </w:numPr>
        <w:ind w:hanging="360" w:left="705" w:right="0"/>
        <w:jc w:val="both"/>
        <w:rPr>
          <w:rFonts w:ascii="Times New Roman" w:hAnsi="Times New Roman"/>
          <w:b w:val="false"/>
          <w:bCs w:val="false"/>
          <w:sz w:val="24"/>
          <w:szCs w:val="24"/>
        </w:rPr>
      </w:pPr>
      <w:r>
        <w:rPr>
          <w:rFonts w:ascii="Times New Roman" w:hAnsi="Times New Roman"/>
          <w:b w:val="false"/>
          <w:bCs w:val="false"/>
          <w:sz w:val="24"/>
          <w:szCs w:val="24"/>
        </w:rPr>
        <w:t>izjavu korisnika javne usluge kojom potvrđuje da je upoznat s Ugovorom,</w:t>
      </w:r>
    </w:p>
    <w:p>
      <w:pPr>
        <w:pStyle w:val="Normal"/>
        <w:numPr>
          <w:ilvl w:val="0"/>
          <w:numId w:val="13"/>
        </w:numPr>
        <w:ind w:hanging="360" w:left="705" w:right="0"/>
        <w:jc w:val="both"/>
        <w:rPr>
          <w:rFonts w:ascii="Times New Roman" w:hAnsi="Times New Roman"/>
          <w:b w:val="false"/>
          <w:bCs w:val="false"/>
          <w:sz w:val="24"/>
          <w:szCs w:val="24"/>
        </w:rPr>
      </w:pPr>
      <w:r>
        <w:rPr>
          <w:rFonts w:ascii="Times New Roman" w:hAnsi="Times New Roman"/>
          <w:b w:val="false"/>
          <w:bCs w:val="false"/>
          <w:sz w:val="24"/>
          <w:szCs w:val="24"/>
        </w:rPr>
        <w:t>izjavu korisnika javne usluge kojom daje suglasnost za elektroničku komunikaciju s davateljem javne usluge i elektroničku adresu i/ili broj mobilnog telefona putem kojeg se korisniku mogu dostavljati obavijesti i računi za uslugu,</w:t>
      </w:r>
    </w:p>
    <w:p>
      <w:pPr>
        <w:pStyle w:val="Normal"/>
        <w:numPr>
          <w:ilvl w:val="0"/>
          <w:numId w:val="13"/>
        </w:numPr>
        <w:ind w:hanging="360" w:left="705" w:right="0"/>
        <w:jc w:val="both"/>
        <w:rPr>
          <w:rFonts w:ascii="Times New Roman" w:hAnsi="Times New Roman"/>
          <w:b w:val="false"/>
          <w:bCs w:val="false"/>
          <w:sz w:val="24"/>
          <w:szCs w:val="24"/>
        </w:rPr>
      </w:pPr>
      <w:r>
        <w:rPr>
          <w:rFonts w:ascii="Times New Roman" w:hAnsi="Times New Roman"/>
          <w:b w:val="false"/>
          <w:bCs w:val="false"/>
          <w:sz w:val="24"/>
          <w:szCs w:val="24"/>
        </w:rPr>
        <w:t>izjavu davatelja javne usluge o tajnosti osobnih podataka,</w:t>
      </w:r>
    </w:p>
    <w:p>
      <w:pPr>
        <w:pStyle w:val="Normal"/>
        <w:numPr>
          <w:ilvl w:val="0"/>
          <w:numId w:val="13"/>
        </w:numPr>
        <w:ind w:hanging="360" w:left="705" w:right="0"/>
        <w:jc w:val="both"/>
        <w:rPr>
          <w:rFonts w:ascii="Times New Roman" w:hAnsi="Times New Roman"/>
          <w:b w:val="false"/>
          <w:bCs w:val="false"/>
          <w:sz w:val="24"/>
          <w:szCs w:val="24"/>
        </w:rPr>
      </w:pPr>
      <w:r>
        <w:rPr>
          <w:rFonts w:ascii="Times New Roman" w:hAnsi="Times New Roman"/>
          <w:b w:val="false"/>
          <w:bCs w:val="false"/>
          <w:sz w:val="24"/>
          <w:szCs w:val="24"/>
        </w:rPr>
        <w:t>uvjete raskida Ugovora,</w:t>
      </w:r>
    </w:p>
    <w:p>
      <w:pPr>
        <w:pStyle w:val="Normal"/>
        <w:numPr>
          <w:ilvl w:val="0"/>
          <w:numId w:val="13"/>
        </w:numPr>
        <w:ind w:hanging="360" w:left="705" w:right="0"/>
        <w:jc w:val="both"/>
        <w:rPr>
          <w:rFonts w:ascii="Times New Roman" w:hAnsi="Times New Roman"/>
          <w:b w:val="false"/>
          <w:bCs w:val="false"/>
          <w:sz w:val="24"/>
          <w:szCs w:val="24"/>
        </w:rPr>
      </w:pPr>
      <w:r>
        <w:rPr>
          <w:rFonts w:ascii="Times New Roman" w:hAnsi="Times New Roman"/>
          <w:b w:val="false"/>
          <w:bCs w:val="false"/>
          <w:sz w:val="24"/>
          <w:szCs w:val="24"/>
        </w:rPr>
        <w:t>izvadak iz Cjenika javne usluge,</w:t>
      </w:r>
    </w:p>
    <w:p>
      <w:pPr>
        <w:pStyle w:val="Normal"/>
        <w:numPr>
          <w:ilvl w:val="0"/>
          <w:numId w:val="13"/>
        </w:numPr>
        <w:ind w:hanging="360" w:left="705" w:right="0"/>
        <w:jc w:val="both"/>
        <w:rPr>
          <w:rFonts w:ascii="Times New Roman" w:hAnsi="Times New Roman"/>
          <w:b w:val="false"/>
          <w:bCs w:val="false"/>
          <w:sz w:val="24"/>
          <w:szCs w:val="24"/>
        </w:rPr>
      </w:pPr>
      <w:r>
        <w:rPr>
          <w:rFonts w:ascii="Times New Roman" w:hAnsi="Times New Roman"/>
          <w:b w:val="false"/>
          <w:bCs w:val="false"/>
          <w:sz w:val="24"/>
          <w:szCs w:val="24"/>
        </w:rPr>
        <w:t>druge podatke potrebne za sklapanje Ugovora.</w:t>
      </w:r>
    </w:p>
    <w:p>
      <w:pPr>
        <w:pStyle w:val="Normal"/>
        <w:spacing w:before="114" w:after="137"/>
        <w:jc w:val="both"/>
        <w:rPr>
          <w:rFonts w:ascii="Times New Roman" w:hAnsi="Times New Roman"/>
          <w:b w:val="false"/>
          <w:bCs w:val="false"/>
          <w:sz w:val="24"/>
          <w:szCs w:val="24"/>
        </w:rPr>
      </w:pPr>
      <w:r>
        <w:rPr>
          <w:rFonts w:ascii="Times New Roman" w:hAnsi="Times New Roman"/>
          <w:b w:val="false"/>
          <w:bCs w:val="false"/>
          <w:sz w:val="24"/>
          <w:szCs w:val="24"/>
        </w:rPr>
        <w:t>(3) Podatci iz stavka 2. ovoga članka svrstani su u obrascu Izjave u dva stupca, od kojih je prvi prijedlog davatelja javne usluge, a drugi očitovanje korisnika javne usluge.</w:t>
      </w:r>
    </w:p>
    <w:p>
      <w:pPr>
        <w:pStyle w:val="Normal"/>
        <w:spacing w:before="114" w:after="137"/>
        <w:jc w:val="both"/>
        <w:rPr>
          <w:rFonts w:ascii="Times New Roman" w:hAnsi="Times New Roman"/>
          <w:b w:val="false"/>
          <w:bCs w:val="false"/>
          <w:sz w:val="24"/>
          <w:szCs w:val="24"/>
        </w:rPr>
      </w:pPr>
      <w:r>
        <w:rPr>
          <w:rFonts w:ascii="Times New Roman" w:hAnsi="Times New Roman"/>
          <w:b w:val="false"/>
          <w:bCs w:val="false"/>
          <w:sz w:val="24"/>
          <w:szCs w:val="24"/>
        </w:rPr>
        <w:t>(4) Korisnik javne usluge je dužan vratiti davatelju usluge dva potpisana primjerka Izjave u roku od 15 dana od zaprimanja.</w:t>
      </w:r>
    </w:p>
    <w:p>
      <w:pPr>
        <w:pStyle w:val="Normal"/>
        <w:spacing w:before="114" w:after="137"/>
        <w:jc w:val="both"/>
        <w:rPr>
          <w:rFonts w:ascii="Times New Roman" w:hAnsi="Times New Roman"/>
          <w:b w:val="false"/>
          <w:bCs w:val="false"/>
          <w:sz w:val="24"/>
          <w:szCs w:val="24"/>
        </w:rPr>
      </w:pPr>
      <w:r>
        <w:rPr>
          <w:rFonts w:ascii="Times New Roman" w:hAnsi="Times New Roman"/>
          <w:b w:val="false"/>
          <w:bCs w:val="false"/>
          <w:sz w:val="24"/>
          <w:szCs w:val="24"/>
        </w:rPr>
        <w:t>(5) Davatelj javne usluge dužan je po zaprimanju Izjave korisniku usluge vratiti jedan ovjereni primjerak Izjave u roku od 15 dana od dana zaprimanja.</w:t>
      </w:r>
    </w:p>
    <w:p>
      <w:pPr>
        <w:pStyle w:val="Normal"/>
        <w:spacing w:before="114" w:after="137"/>
        <w:jc w:val="both"/>
        <w:rPr>
          <w:rFonts w:ascii="Times New Roman" w:hAnsi="Times New Roman"/>
          <w:b w:val="false"/>
          <w:bCs w:val="false"/>
          <w:sz w:val="24"/>
          <w:szCs w:val="24"/>
        </w:rPr>
      </w:pPr>
      <w:r>
        <w:rPr>
          <w:rFonts w:ascii="Times New Roman" w:hAnsi="Times New Roman"/>
          <w:b w:val="false"/>
          <w:bCs w:val="false"/>
          <w:sz w:val="24"/>
          <w:szCs w:val="24"/>
        </w:rPr>
        <w:t>(6) Davatelj javne usluge dužan je primijeniti podatak iz Izjave koji je naveo korisnik javne usluge (stupac: očitovanje korisnika javne usluge) kada je taj podatak u skladu sa Zakonom i ovo Odlukom.</w:t>
      </w:r>
    </w:p>
    <w:p>
      <w:pPr>
        <w:pStyle w:val="Normal"/>
        <w:spacing w:before="114" w:after="137"/>
        <w:jc w:val="both"/>
        <w:rPr>
          <w:rFonts w:ascii="Times New Roman" w:hAnsi="Times New Roman"/>
          <w:b w:val="false"/>
          <w:bCs w:val="false"/>
          <w:sz w:val="24"/>
          <w:szCs w:val="24"/>
        </w:rPr>
      </w:pPr>
      <w:r>
        <w:rPr>
          <w:rFonts w:ascii="Times New Roman" w:hAnsi="Times New Roman"/>
          <w:b w:val="false"/>
          <w:bCs w:val="false"/>
          <w:sz w:val="24"/>
          <w:szCs w:val="24"/>
        </w:rPr>
        <w:t>(7) Iznimno od odredbe stavka 6. ovog članka davatelj javne usluge primjenjuje podatak iz Izjave koji je naveo davatelj javne usluge (stupac: prijedlog davatelja javne usluge) u sljedećim slučajevima:</w:t>
      </w:r>
    </w:p>
    <w:p>
      <w:pPr>
        <w:pStyle w:val="Normal"/>
        <w:numPr>
          <w:ilvl w:val="0"/>
          <w:numId w:val="14"/>
        </w:numPr>
        <w:spacing w:before="0" w:after="0"/>
        <w:ind w:hanging="360" w:left="720" w:right="0"/>
        <w:jc w:val="both"/>
        <w:rPr>
          <w:rFonts w:ascii="Times New Roman" w:hAnsi="Times New Roman"/>
          <w:b w:val="false"/>
          <w:bCs w:val="false"/>
          <w:sz w:val="24"/>
          <w:szCs w:val="24"/>
        </w:rPr>
      </w:pPr>
      <w:r>
        <w:rPr>
          <w:rFonts w:ascii="Times New Roman" w:hAnsi="Times New Roman"/>
          <w:b w:val="false"/>
          <w:bCs w:val="false"/>
          <w:sz w:val="24"/>
          <w:szCs w:val="24"/>
        </w:rPr>
        <w:t>kad se korisnik javne usluge ne očituje u Izjavi o podacima iz stavka 2. ovog članka odnosno ne dostavi davatelju javne usluge Izjavu u roku iz stavka 4. ovoga članka,</w:t>
      </w:r>
    </w:p>
    <w:p>
      <w:pPr>
        <w:pStyle w:val="Normal"/>
        <w:numPr>
          <w:ilvl w:val="0"/>
          <w:numId w:val="14"/>
        </w:numPr>
        <w:spacing w:before="0" w:after="0"/>
        <w:ind w:hanging="360" w:left="720" w:right="0"/>
        <w:jc w:val="both"/>
        <w:rPr>
          <w:rFonts w:ascii="Times New Roman" w:hAnsi="Times New Roman"/>
          <w:b w:val="false"/>
          <w:bCs w:val="false"/>
          <w:sz w:val="24"/>
          <w:szCs w:val="24"/>
        </w:rPr>
      </w:pPr>
      <w:r>
        <w:rPr>
          <w:rFonts w:ascii="Times New Roman" w:hAnsi="Times New Roman"/>
          <w:b w:val="false"/>
          <w:bCs w:val="false"/>
          <w:sz w:val="24"/>
          <w:szCs w:val="24"/>
        </w:rPr>
        <w:t>kad više korisnika javne usluge koristi zajednički spremnik, a među korisnicima javne usluge nije postignut dogovor o udjelima korištenja zajedničkog spremnika na način da zbroj svih udjela čini jedan,</w:t>
      </w:r>
    </w:p>
    <w:p>
      <w:pPr>
        <w:pStyle w:val="Normal"/>
        <w:numPr>
          <w:ilvl w:val="0"/>
          <w:numId w:val="14"/>
        </w:numPr>
        <w:spacing w:before="0" w:after="0"/>
        <w:ind w:hanging="360" w:left="720" w:right="0"/>
        <w:jc w:val="both"/>
        <w:rPr>
          <w:rFonts w:ascii="Times New Roman" w:hAnsi="Times New Roman"/>
          <w:b w:val="false"/>
          <w:bCs w:val="false"/>
          <w:sz w:val="24"/>
          <w:szCs w:val="24"/>
        </w:rPr>
      </w:pPr>
      <w:r>
        <w:rPr>
          <w:rFonts w:ascii="Times New Roman" w:hAnsi="Times New Roman"/>
          <w:b w:val="false"/>
          <w:bCs w:val="false"/>
          <w:sz w:val="24"/>
          <w:szCs w:val="24"/>
        </w:rPr>
        <w:t>kad podatak koji je naveo korisnik javne usluge nije u skladu sa Zakonom i ovom Odlukom,</w:t>
      </w:r>
    </w:p>
    <w:p>
      <w:pPr>
        <w:pStyle w:val="Normal"/>
        <w:numPr>
          <w:ilvl w:val="0"/>
          <w:numId w:val="14"/>
        </w:numPr>
        <w:spacing w:before="0" w:after="0"/>
        <w:ind w:hanging="360" w:left="720" w:right="0"/>
        <w:jc w:val="both"/>
        <w:rPr>
          <w:rFonts w:ascii="Times New Roman" w:hAnsi="Times New Roman"/>
          <w:b w:val="false"/>
          <w:bCs w:val="false"/>
          <w:sz w:val="24"/>
          <w:szCs w:val="24"/>
        </w:rPr>
      </w:pPr>
      <w:r>
        <w:rPr>
          <w:rFonts w:ascii="Times New Roman" w:hAnsi="Times New Roman"/>
          <w:b w:val="false"/>
          <w:bCs w:val="false"/>
          <w:sz w:val="24"/>
          <w:szCs w:val="24"/>
        </w:rPr>
        <w:t>kad davatelj javne usluge može nedvojbeno utvrditi da podatak koji je naveo korisnik javne usluge ne odgovara stvarnom stanju kod korisnika javne usluge.</w:t>
      </w:r>
    </w:p>
    <w:p>
      <w:pPr>
        <w:pStyle w:val="Normal"/>
        <w:spacing w:before="114" w:after="137"/>
        <w:jc w:val="both"/>
        <w:rPr>
          <w:rFonts w:ascii="Times New Roman" w:hAnsi="Times New Roman"/>
          <w:b w:val="false"/>
          <w:bCs w:val="false"/>
          <w:sz w:val="24"/>
          <w:szCs w:val="24"/>
        </w:rPr>
      </w:pPr>
      <w:r>
        <w:rPr>
          <w:rFonts w:ascii="Times New Roman" w:hAnsi="Times New Roman"/>
          <w:b w:val="false"/>
          <w:bCs w:val="false"/>
          <w:sz w:val="24"/>
          <w:szCs w:val="24"/>
        </w:rPr>
        <w:t>(8) U slučaju spora između davatelja javne usluge i korisnika javne usluge u vezi zajedničkog korištenja spremnika za miješani komunalni otpad, o predmetu spora rješenjem će odlučiti načelnik Općine Marijanci.</w:t>
      </w:r>
    </w:p>
    <w:p>
      <w:pPr>
        <w:pStyle w:val="Normal"/>
        <w:spacing w:before="114" w:after="137"/>
        <w:jc w:val="both"/>
        <w:rPr>
          <w:rFonts w:ascii="Times New Roman" w:hAnsi="Times New Roman"/>
          <w:b w:val="false"/>
          <w:bCs w:val="false"/>
          <w:sz w:val="24"/>
          <w:szCs w:val="24"/>
        </w:rPr>
      </w:pPr>
      <w:r>
        <w:rPr>
          <w:rFonts w:ascii="Times New Roman" w:hAnsi="Times New Roman"/>
          <w:b w:val="false"/>
          <w:bCs w:val="false"/>
          <w:sz w:val="24"/>
          <w:szCs w:val="24"/>
        </w:rPr>
        <w:t>(9) Davatelj javne usluge može omogućiti davanje Izjave elektroničkim putem kad je takav način prihvatljiv korisniku javne usluge.</w:t>
      </w:r>
    </w:p>
    <w:p>
      <w:pPr>
        <w:pStyle w:val="Normal"/>
        <w:spacing w:before="0" w:after="0"/>
        <w:jc w:val="both"/>
        <w:rPr>
          <w:rFonts w:ascii="Times New Roman" w:hAnsi="Times New Roman"/>
          <w:b w:val="false"/>
          <w:bCs w:val="false"/>
          <w:sz w:val="24"/>
          <w:szCs w:val="24"/>
        </w:rPr>
      </w:pPr>
      <w:r>
        <w:rPr>
          <w:rFonts w:ascii="Times New Roman" w:hAnsi="Times New Roman"/>
          <w:b w:val="false"/>
          <w:bCs w:val="false"/>
          <w:sz w:val="24"/>
          <w:szCs w:val="24"/>
        </w:rPr>
        <w:t>(10) Korisnik javne usluge dužan je obavijestiti davatelja javne usluge o svakoj promjeni podataka, u roku od 15 dana od dana kada je nastupila promjena podataka sadržanih u Izjavi.</w:t>
      </w:r>
    </w:p>
    <w:p>
      <w:pPr>
        <w:pStyle w:val="Normal"/>
        <w:spacing w:before="285" w:after="308"/>
        <w:jc w:val="both"/>
        <w:rPr>
          <w:rFonts w:ascii="Times New Roman" w:hAnsi="Times New Roman"/>
          <w:b w:val="false"/>
          <w:bCs w:val="false"/>
          <w:sz w:val="24"/>
          <w:szCs w:val="24"/>
        </w:rPr>
      </w:pPr>
      <w:r>
        <w:rPr>
          <w:rFonts w:ascii="Times New Roman" w:hAnsi="Times New Roman"/>
          <w:b w:val="false"/>
          <w:bCs w:val="false"/>
          <w:sz w:val="24"/>
          <w:szCs w:val="24"/>
        </w:rPr>
        <w:t>(11) Osobni podatci korisnika javne usluge dostavljeni davatelju javne usluge putem Izjave tajni su i smiju se koristiti isključivo u svrhu provedbe ugovornih obveza iz Ugovora o korištenju javne usluge. Davatelj javne usluge dužan je ove podatke čuvati u elektroničkoj bazi podataka s ograničenim pristupom, a obrasce Izjave dužan je pohraniti u arhivu uz odgovarajuću razinu zaštite tajnosti osobnih podataka.</w:t>
      </w:r>
    </w:p>
    <w:p>
      <w:pPr>
        <w:pStyle w:val="Heading2"/>
        <w:spacing w:before="0" w:after="0"/>
        <w:ind w:hanging="10" w:left="-5" w:right="0"/>
        <w:jc w:val="center"/>
        <w:rPr>
          <w:rFonts w:ascii="Times New Roman" w:hAnsi="Times New Roman"/>
          <w:sz w:val="24"/>
          <w:szCs w:val="24"/>
          <w:u w:val="none" w:color="000000"/>
        </w:rPr>
      </w:pPr>
      <w:r>
        <w:rPr>
          <w:rFonts w:ascii="Times New Roman" w:hAnsi="Times New Roman"/>
          <w:sz w:val="24"/>
          <w:szCs w:val="24"/>
          <w:u w:val="none" w:color="000000"/>
        </w:rPr>
        <w:t>Članak 18.</w:t>
      </w:r>
    </w:p>
    <w:p>
      <w:pPr>
        <w:pStyle w:val="Heading2"/>
        <w:spacing w:before="0" w:after="114"/>
        <w:ind w:hanging="10" w:left="-5" w:right="0"/>
        <w:jc w:val="both"/>
        <w:rPr>
          <w:rFonts w:ascii="Times New Roman" w:hAnsi="Times New Roman"/>
          <w:b w:val="false"/>
          <w:bCs w:val="false"/>
          <w:sz w:val="24"/>
          <w:szCs w:val="24"/>
          <w:u w:val="none" w:color="000000"/>
        </w:rPr>
      </w:pPr>
      <w:r>
        <w:rPr>
          <w:rFonts w:ascii="Times New Roman" w:hAnsi="Times New Roman"/>
          <w:b w:val="false"/>
          <w:bCs w:val="false"/>
          <w:sz w:val="24"/>
          <w:szCs w:val="24"/>
          <w:u w:val="none" w:color="000000"/>
        </w:rPr>
        <w:t>(1) Prihvatljivi dokazi izvršenja javne usluge za pojedinog korisnika javne usluge predstavlja evidencija davatelja javne usluge o izvršenoj javnoj usluzi (automatska elektronička evidencija pražnjenja spremnika tijekom obračunskog razdoblja) za pojedingo korisnika javne usluge, pri čemu davatelj javne usluge ne odgovara za neovlašteno korištenje spremnika od strane trećih osoba, već je svaki korisnik javne usluge dužan osigurati da njemu  dodijeljene spremnike ne koriste neovlašteno treće osobe.</w:t>
      </w:r>
    </w:p>
    <w:p>
      <w:pPr>
        <w:pStyle w:val="Normal"/>
        <w:spacing w:before="114" w:after="114"/>
        <w:ind w:hanging="10" w:left="-5" w:right="0"/>
        <w:jc w:val="both"/>
        <w:rPr>
          <w:rFonts w:ascii="Times New Roman" w:hAnsi="Times New Roman"/>
          <w:b w:val="false"/>
          <w:bCs w:val="false"/>
          <w:sz w:val="24"/>
          <w:szCs w:val="24"/>
          <w:u w:val="none" w:color="000000"/>
        </w:rPr>
      </w:pPr>
      <w:r>
        <w:rPr>
          <w:rFonts w:ascii="Times New Roman" w:hAnsi="Times New Roman"/>
          <w:b w:val="false"/>
          <w:bCs w:val="false"/>
          <w:sz w:val="24"/>
          <w:szCs w:val="24"/>
          <w:u w:val="none" w:color="000000"/>
        </w:rPr>
        <w:t>(2) Davatelj javne usluge dužan je, na zahtjev korisnika javne usluge, omogućiti korisniku javne usluge uvid u njegove podatke u evidenciji, u elektroničkom obliku, putem e-pošte ili mrežnog servisa.</w:t>
      </w:r>
    </w:p>
    <w:p>
      <w:pPr>
        <w:pStyle w:val="Normal"/>
        <w:ind w:hanging="10" w:left="-5" w:right="0"/>
        <w:jc w:val="both"/>
        <w:rPr>
          <w:rFonts w:ascii="Times New Roman" w:hAnsi="Times New Roman"/>
          <w:b w:val="false"/>
          <w:bCs w:val="false"/>
          <w:sz w:val="24"/>
          <w:szCs w:val="24"/>
          <w:u w:val="none" w:color="000000"/>
        </w:rPr>
      </w:pPr>
      <w:r>
        <w:rPr>
          <w:rFonts w:ascii="Times New Roman" w:hAnsi="Times New Roman"/>
          <w:b w:val="false"/>
          <w:bCs w:val="false"/>
          <w:sz w:val="24"/>
          <w:szCs w:val="24"/>
          <w:u w:val="none" w:color="000000"/>
        </w:rPr>
        <w:t>(3) Evidencija sadrži podatke najmanje o:</w:t>
      </w:r>
    </w:p>
    <w:p>
      <w:pPr>
        <w:pStyle w:val="Normal"/>
        <w:ind w:hanging="10" w:left="-5" w:right="0"/>
        <w:jc w:val="both"/>
        <w:rPr>
          <w:rFonts w:ascii="Times New Roman" w:hAnsi="Times New Roman"/>
          <w:b w:val="false"/>
          <w:bCs w:val="false"/>
          <w:sz w:val="24"/>
          <w:szCs w:val="24"/>
          <w:u w:val="none" w:color="000000"/>
        </w:rPr>
      </w:pPr>
      <w:r>
        <w:rPr>
          <w:rFonts w:ascii="Times New Roman" w:hAnsi="Times New Roman"/>
          <w:b w:val="false"/>
          <w:bCs w:val="false"/>
          <w:sz w:val="24"/>
          <w:szCs w:val="24"/>
          <w:u w:val="none" w:color="000000"/>
        </w:rPr>
        <w:t>1. kategoriji korisnika javne usluge;</w:t>
      </w:r>
    </w:p>
    <w:p>
      <w:pPr>
        <w:pStyle w:val="Normal"/>
        <w:ind w:hanging="10" w:left="-5" w:right="0"/>
        <w:jc w:val="both"/>
        <w:rPr>
          <w:rFonts w:ascii="Times New Roman" w:hAnsi="Times New Roman"/>
          <w:b w:val="false"/>
          <w:bCs w:val="false"/>
          <w:sz w:val="24"/>
          <w:szCs w:val="24"/>
          <w:u w:val="none" w:color="000000"/>
        </w:rPr>
      </w:pPr>
      <w:r>
        <w:rPr>
          <w:rFonts w:ascii="Times New Roman" w:hAnsi="Times New Roman"/>
          <w:b w:val="false"/>
          <w:bCs w:val="false"/>
          <w:sz w:val="24"/>
          <w:szCs w:val="24"/>
          <w:u w:val="none" w:color="000000"/>
        </w:rPr>
        <w:t>2. korisniku javne usluge – ime i prezime ili naziv pravne osobe odnosno fizičke osobe – obrtnika, OIB i adresa sjedišta; adresa obračunskog mjesta; popis predviđenih primopredaja miješanog komunalnog otpada po obračunskim razdobljima; popis izjavljenih prigovora korisnika javne usluge;</w:t>
      </w:r>
    </w:p>
    <w:p>
      <w:pPr>
        <w:pStyle w:val="Normal"/>
        <w:ind w:hanging="10" w:left="-5" w:right="0"/>
        <w:jc w:val="both"/>
        <w:rPr>
          <w:rFonts w:ascii="Times New Roman" w:hAnsi="Times New Roman"/>
          <w:b w:val="false"/>
          <w:bCs w:val="false"/>
          <w:sz w:val="24"/>
          <w:szCs w:val="24"/>
          <w:u w:val="none" w:color="000000"/>
        </w:rPr>
      </w:pPr>
      <w:r>
        <w:rPr>
          <w:rFonts w:ascii="Times New Roman" w:hAnsi="Times New Roman"/>
          <w:b w:val="false"/>
          <w:bCs w:val="false"/>
          <w:sz w:val="24"/>
          <w:szCs w:val="24"/>
          <w:u w:val="none" w:color="000000"/>
        </w:rPr>
        <w:t>3. korištenju javne usluge za obračunsko mjesto: podatak o korištenju nekretnine na obračunskom mjestu (koristi se ili se trajno ne koristi); datum zaprimanja/zadnje izmjene Izjave i kopija Izjave u elektroničkom obliku; vrsta i količin spremnika s pripadajućim oznakama; udio korisnika javne usluge u korištenju spremnika; datum i broj primopredaja miješanog komunalnog otpada i dokaz o izvršenoj usluzi u obračunskom razdoblju;</w:t>
      </w:r>
    </w:p>
    <w:p>
      <w:pPr>
        <w:pStyle w:val="Normal"/>
        <w:ind w:hanging="10" w:left="-5" w:right="0"/>
        <w:jc w:val="both"/>
        <w:rPr>
          <w:rFonts w:ascii="Times New Roman" w:hAnsi="Times New Roman"/>
          <w:b w:val="false"/>
          <w:bCs w:val="false"/>
          <w:sz w:val="24"/>
          <w:szCs w:val="24"/>
          <w:u w:val="none" w:color="000000"/>
        </w:rPr>
      </w:pPr>
      <w:r>
        <w:rPr>
          <w:rFonts w:ascii="Times New Roman" w:hAnsi="Times New Roman"/>
          <w:b w:val="false"/>
          <w:bCs w:val="false"/>
          <w:sz w:val="24"/>
          <w:szCs w:val="24"/>
          <w:u w:val="none" w:color="000000"/>
        </w:rPr>
        <w:t>4. korištenju reciklažnog dvorišta i mobilnog reciklažnog dvorišta – lokacija reciklažnog dvorišta odnosno mobilnog reciklažnog dvorišta; daum predaje, vrsta i količina otpada predanog u reciklažnom dvorištu;</w:t>
      </w:r>
    </w:p>
    <w:p>
      <w:pPr>
        <w:pStyle w:val="Normal"/>
        <w:ind w:hanging="10" w:left="-5" w:right="0"/>
        <w:jc w:val="both"/>
        <w:rPr>
          <w:rFonts w:ascii="Times New Roman" w:hAnsi="Times New Roman"/>
          <w:b w:val="false"/>
          <w:bCs w:val="false"/>
          <w:sz w:val="24"/>
          <w:szCs w:val="24"/>
          <w:u w:val="none" w:color="000000"/>
        </w:rPr>
      </w:pPr>
      <w:r>
        <w:rPr>
          <w:rFonts w:ascii="Times New Roman" w:hAnsi="Times New Roman"/>
          <w:b w:val="false"/>
          <w:bCs w:val="false"/>
          <w:sz w:val="24"/>
          <w:szCs w:val="24"/>
          <w:u w:val="none" w:color="000000"/>
        </w:rPr>
        <w:t>5. korištenju usluge preuzimanja glomaznog komunalnog otpada po pozivu  - datum preuzimanja glomaznog komunalnog otpada, vrsta i količina.</w:t>
      </w:r>
    </w:p>
    <w:p>
      <w:pPr>
        <w:pStyle w:val="Normal"/>
        <w:ind w:hanging="10" w:left="-5" w:right="0"/>
        <w:jc w:val="both"/>
        <w:rPr>
          <w:rFonts w:ascii="Times New Roman" w:hAnsi="Times New Roman"/>
          <w:b w:val="false"/>
          <w:bCs w:val="false"/>
          <w:sz w:val="24"/>
          <w:szCs w:val="24"/>
          <w:u w:val="none" w:color="000000"/>
        </w:rPr>
      </w:pPr>
      <w:r>
        <w:rPr>
          <w:rFonts w:ascii="Times New Roman" w:hAnsi="Times New Roman"/>
          <w:b w:val="false"/>
          <w:bCs w:val="false"/>
          <w:sz w:val="24"/>
          <w:szCs w:val="24"/>
          <w:u w:val="none" w:color="000000"/>
        </w:rPr>
      </w:r>
    </w:p>
    <w:p>
      <w:pPr>
        <w:pStyle w:val="Normal"/>
        <w:ind w:hanging="10" w:left="-5" w:right="0"/>
        <w:jc w:val="both"/>
        <w:rPr>
          <w:rFonts w:ascii="Times New Roman" w:hAnsi="Times New Roman"/>
          <w:b w:val="false"/>
          <w:bCs w:val="false"/>
          <w:sz w:val="24"/>
          <w:szCs w:val="24"/>
          <w:u w:val="none" w:color="000000"/>
        </w:rPr>
      </w:pPr>
      <w:r>
        <w:rPr>
          <w:rFonts w:ascii="Times New Roman" w:hAnsi="Times New Roman"/>
          <w:b w:val="false"/>
          <w:bCs w:val="false"/>
          <w:sz w:val="24"/>
          <w:szCs w:val="24"/>
          <w:u w:val="none" w:color="000000"/>
        </w:rPr>
      </w:r>
    </w:p>
    <w:p>
      <w:pPr>
        <w:pStyle w:val="Heading2"/>
        <w:ind w:hanging="10" w:left="-5" w:right="0"/>
        <w:rPr>
          <w:rFonts w:ascii="Times New Roman" w:hAnsi="Times New Roman"/>
        </w:rPr>
      </w:pPr>
      <w:r>
        <w:rPr>
          <w:rFonts w:cs="Calibri" w:ascii="Times New Roman" w:hAnsi="Times New Roman"/>
          <w:color w:val="111111"/>
          <w:sz w:val="24"/>
          <w:szCs w:val="24"/>
        </w:rPr>
        <w:t>Ugovor o korištenju javne usluge</w:t>
      </w:r>
      <w:r>
        <w:rPr>
          <w:rFonts w:cs="Calibri" w:ascii="Times New Roman" w:hAnsi="Times New Roman"/>
          <w:color w:val="111111"/>
          <w:sz w:val="24"/>
          <w:szCs w:val="24"/>
          <w:u w:val="none"/>
        </w:rPr>
        <w:t xml:space="preserve"> </w:t>
      </w:r>
    </w:p>
    <w:p>
      <w:pPr>
        <w:pStyle w:val="Normal"/>
        <w:spacing w:lineRule="auto" w:line="247" w:before="0" w:after="27"/>
        <w:ind w:hanging="10" w:left="10" w:right="4"/>
        <w:jc w:val="center"/>
        <w:rPr>
          <w:rFonts w:ascii="Times New Roman" w:hAnsi="Times New Roman"/>
        </w:rPr>
      </w:pPr>
      <w:r>
        <w:rPr>
          <w:rFonts w:cs="Calibri" w:ascii="Times New Roman" w:hAnsi="Times New Roman"/>
          <w:b/>
          <w:color w:val="111111"/>
          <w:sz w:val="24"/>
          <w:szCs w:val="24"/>
        </w:rPr>
        <w:t xml:space="preserve">Članak 19. </w:t>
      </w:r>
    </w:p>
    <w:p>
      <w:pPr>
        <w:pStyle w:val="Normal"/>
        <w:numPr>
          <w:ilvl w:val="0"/>
          <w:numId w:val="8"/>
        </w:numPr>
        <w:spacing w:before="0" w:after="142"/>
        <w:ind w:hanging="297" w:left="297" w:right="0"/>
        <w:rPr>
          <w:rFonts w:ascii="Times New Roman" w:hAnsi="Times New Roman"/>
        </w:rPr>
      </w:pPr>
      <w:r>
        <w:rPr>
          <w:rFonts w:cs="Calibri" w:ascii="Times New Roman" w:hAnsi="Times New Roman"/>
          <w:color w:val="111111"/>
          <w:sz w:val="24"/>
          <w:szCs w:val="24"/>
        </w:rPr>
        <w:t xml:space="preserve">Ugovor o korištenju javne usluge smatra se sklopljenim: </w:t>
      </w:r>
    </w:p>
    <w:p>
      <w:pPr>
        <w:pStyle w:val="Normal"/>
        <w:numPr>
          <w:ilvl w:val="1"/>
          <w:numId w:val="8"/>
        </w:numPr>
        <w:spacing w:before="0" w:after="24"/>
        <w:ind w:hanging="422" w:left="705" w:right="0"/>
        <w:rPr>
          <w:rFonts w:ascii="Times New Roman" w:hAnsi="Times New Roman"/>
        </w:rPr>
      </w:pPr>
      <w:r>
        <w:rPr>
          <w:rFonts w:cs="Calibri" w:ascii="Times New Roman" w:hAnsi="Times New Roman"/>
          <w:color w:val="111111"/>
          <w:sz w:val="24"/>
          <w:szCs w:val="24"/>
        </w:rPr>
        <w:t xml:space="preserve">kad korisnik javne usluge dostavi davatelju javne usluge Izjavu ili </w:t>
      </w:r>
    </w:p>
    <w:p>
      <w:pPr>
        <w:pStyle w:val="Normal"/>
        <w:numPr>
          <w:ilvl w:val="1"/>
          <w:numId w:val="8"/>
        </w:numPr>
        <w:spacing w:before="0" w:after="112"/>
        <w:ind w:hanging="422" w:left="705" w:right="0"/>
        <w:rPr>
          <w:rFonts w:ascii="Times New Roman" w:hAnsi="Times New Roman"/>
        </w:rPr>
      </w:pPr>
      <w:r>
        <w:rPr>
          <w:rFonts w:cs="Calibri" w:ascii="Times New Roman" w:hAnsi="Times New Roman"/>
          <w:color w:val="111111"/>
          <w:sz w:val="24"/>
          <w:szCs w:val="24"/>
        </w:rPr>
        <w:t xml:space="preserve">prilikom prvog evidentiranog korištenja javne usluge ili zaprimanja na korištenje spremnika za primopredaju miješanog komunalnog otpada, u slučaju kad korisnik javne usluge ne dostavi davatelju javne usluge Izjavu. </w:t>
      </w:r>
    </w:p>
    <w:p>
      <w:pPr>
        <w:pStyle w:val="Normal"/>
        <w:numPr>
          <w:ilvl w:val="0"/>
          <w:numId w:val="8"/>
        </w:numPr>
        <w:spacing w:before="0" w:after="108"/>
        <w:ind w:hanging="297" w:left="297" w:right="0"/>
        <w:rPr>
          <w:rFonts w:ascii="Times New Roman" w:hAnsi="Times New Roman"/>
        </w:rPr>
      </w:pPr>
      <w:r>
        <w:rPr>
          <w:rFonts w:cs="Calibri" w:ascii="Times New Roman" w:hAnsi="Times New Roman"/>
          <w:color w:val="111111"/>
          <w:sz w:val="24"/>
          <w:szCs w:val="24"/>
        </w:rPr>
        <w:t xml:space="preserve">Bitne sastojke Ugovora čine Opći uvjeti Ugovora, ova Odluka, Izjava i Cjenik javne usluge. </w:t>
      </w:r>
    </w:p>
    <w:p>
      <w:pPr>
        <w:pStyle w:val="Normal"/>
        <w:numPr>
          <w:ilvl w:val="0"/>
          <w:numId w:val="8"/>
        </w:numPr>
        <w:spacing w:before="0" w:after="112"/>
        <w:ind w:hanging="297" w:left="297" w:right="0"/>
        <w:rPr>
          <w:rFonts w:ascii="Times New Roman" w:hAnsi="Times New Roman"/>
        </w:rPr>
      </w:pPr>
      <w:r>
        <w:rPr>
          <w:rFonts w:cs="Calibri" w:ascii="Times New Roman" w:hAnsi="Times New Roman"/>
          <w:color w:val="111111"/>
          <w:sz w:val="24"/>
          <w:szCs w:val="24"/>
        </w:rPr>
        <w:t xml:space="preserve">Davatelj javne usluge dužan je omogućiti korisniku javne usluge uvid u akte iz stavka 2. ovoga članka prije sklapanja Ugovora te prije svake izmjene i/ili dopune Ugovora te kasnije, na zahtjev korisnika javne usluge. </w:t>
      </w:r>
    </w:p>
    <w:p>
      <w:pPr>
        <w:pStyle w:val="Normal"/>
        <w:numPr>
          <w:ilvl w:val="0"/>
          <w:numId w:val="8"/>
        </w:numPr>
        <w:spacing w:before="0" w:after="109"/>
        <w:ind w:hanging="297" w:left="297" w:right="0"/>
        <w:rPr>
          <w:rFonts w:ascii="Times New Roman" w:hAnsi="Times New Roman"/>
        </w:rPr>
      </w:pPr>
      <w:r>
        <w:rPr>
          <w:rFonts w:cs="Calibri" w:ascii="Times New Roman" w:hAnsi="Times New Roman"/>
          <w:color w:val="111111"/>
          <w:sz w:val="24"/>
          <w:szCs w:val="24"/>
        </w:rPr>
        <w:t xml:space="preserve">Općina Marijanci i davatelj javne usluge dužni su, putem sredstava javnog informiranja, mrežne stranice, dostavom pisane obavijesti i/ili na drugi za korisnika javne usluge prihvatljiv način, osigurati da korisnik javne usluge, prije sklapanja Ugovora i/ili izmjene odnosno dopune Ugovora, bude upoznat s propisanim odredbama koje uređuju sustav sakupljanja komunalnog otpada, Ugovorom i pravnim posljedicama.  </w:t>
      </w:r>
    </w:p>
    <w:p>
      <w:pPr>
        <w:pStyle w:val="Normal"/>
        <w:numPr>
          <w:ilvl w:val="0"/>
          <w:numId w:val="8"/>
        </w:numPr>
        <w:spacing w:lineRule="auto" w:line="240" w:before="0" w:after="480"/>
        <w:ind w:hanging="297" w:left="297" w:right="0"/>
        <w:rPr>
          <w:rFonts w:ascii="Times New Roman" w:hAnsi="Times New Roman"/>
        </w:rPr>
      </w:pPr>
      <w:r>
        <w:rPr>
          <w:rFonts w:cs="Calibri" w:ascii="Times New Roman" w:hAnsi="Times New Roman"/>
          <w:color w:val="111111"/>
          <w:sz w:val="24"/>
          <w:szCs w:val="24"/>
        </w:rPr>
        <w:t xml:space="preserve">Davatelj javne usluge je dužan na svojoj mrežnoj stranici objaviti u strojno čitljivom obliku i održavati poveznice na mrežne stranice Narodnih novina na kojima je objavljen Zakon te drugi podzakonski akti, digitalna preslika Odluke, digitalna preslika Cjenika i obavijest o načinu podnošenja prigovora sukladno pozitivnim propisima Republike Hrvatske. </w:t>
      </w:r>
    </w:p>
    <w:p>
      <w:pPr>
        <w:pStyle w:val="Heading2"/>
        <w:ind w:hanging="0" w:left="-5" w:right="0"/>
        <w:rPr>
          <w:rFonts w:ascii="Times New Roman" w:hAnsi="Times New Roman"/>
        </w:rPr>
      </w:pPr>
      <w:r>
        <w:rPr>
          <w:rFonts w:cs="Calibri" w:ascii="Times New Roman" w:hAnsi="Times New Roman"/>
          <w:color w:val="111111"/>
          <w:sz w:val="24"/>
          <w:szCs w:val="24"/>
        </w:rPr>
        <w:t>Provedba Ugovora i korištenje javne usluge u slučaju nastupanja posebnih okolnosti</w:t>
      </w:r>
      <w:r>
        <w:rPr>
          <w:rFonts w:cs="Calibri" w:ascii="Times New Roman" w:hAnsi="Times New Roman"/>
          <w:color w:val="111111"/>
          <w:sz w:val="24"/>
          <w:szCs w:val="24"/>
          <w:u w:val="none"/>
        </w:rPr>
        <w:t xml:space="preserve"> </w:t>
      </w:r>
    </w:p>
    <w:p>
      <w:pPr>
        <w:pStyle w:val="Normal"/>
        <w:spacing w:lineRule="auto" w:line="247" w:before="0" w:after="27"/>
        <w:ind w:hanging="10" w:left="10" w:right="4"/>
        <w:jc w:val="center"/>
        <w:rPr>
          <w:rFonts w:ascii="Times New Roman" w:hAnsi="Times New Roman"/>
        </w:rPr>
      </w:pPr>
      <w:r>
        <w:rPr>
          <w:rFonts w:cs="Calibri" w:ascii="Times New Roman" w:hAnsi="Times New Roman"/>
          <w:b/>
          <w:color w:val="111111"/>
          <w:sz w:val="24"/>
          <w:szCs w:val="24"/>
        </w:rPr>
        <w:t xml:space="preserve">Članak 20. </w:t>
      </w:r>
    </w:p>
    <w:p>
      <w:pPr>
        <w:pStyle w:val="Normal"/>
        <w:numPr>
          <w:ilvl w:val="0"/>
          <w:numId w:val="0"/>
        </w:numPr>
        <w:spacing w:before="0" w:after="112"/>
        <w:ind w:hanging="0" w:left="10" w:right="0"/>
        <w:jc w:val="both"/>
        <w:rPr>
          <w:rFonts w:ascii="Times New Roman" w:hAnsi="Times New Roman"/>
        </w:rPr>
      </w:pPr>
      <w:r>
        <w:rPr>
          <w:rFonts w:cs="Calibri" w:ascii="Times New Roman" w:hAnsi="Times New Roman"/>
          <w:color w:val="111111"/>
          <w:sz w:val="24"/>
          <w:szCs w:val="24"/>
        </w:rPr>
        <w:t xml:space="preserve">(1) U slučaju nastupanja posebnih okolnosti – elementarne nepogode, rata ili druge više sile koja bi spriječila davatelja javne usluge u izvršenju javne usluge u okvirima opisanim ovom Odlukom u trajanju duljem od obračunskog razdoblja iz stavka 2. članka 5. ove Odluke, ugovorne obveze se ne primjenjuju za vrijeme trajanja posebnih okolnosti. </w:t>
      </w:r>
    </w:p>
    <w:p>
      <w:pPr>
        <w:pStyle w:val="Normal"/>
        <w:numPr>
          <w:ilvl w:val="0"/>
          <w:numId w:val="0"/>
        </w:numPr>
        <w:spacing w:before="0" w:after="472"/>
        <w:ind w:hanging="0" w:left="10" w:right="0"/>
        <w:rPr>
          <w:rFonts w:ascii="Times New Roman" w:hAnsi="Times New Roman"/>
        </w:rPr>
      </w:pPr>
      <w:r>
        <w:rPr>
          <w:rFonts w:cs="Calibri" w:ascii="Times New Roman" w:hAnsi="Times New Roman"/>
          <w:color w:val="111111"/>
          <w:sz w:val="24"/>
          <w:szCs w:val="24"/>
        </w:rPr>
        <w:t xml:space="preserve">(2) U slučaju trajanja posebnih okolnosti kraćem od jednog obračunskog razdoblja iz stavka 2. članka 5. ove Odluke, ugovorne obveze ostaju na snazi, a davatelj javne usluge dužan je, čim okolnosti dozvole, izvršiti javnu uslugu u cijelosti, uključujući i odvoz onih količina otpada koje je propustio odvesti za vrijeme trajanja posebnih okolnosti. Odredbe Ugovora koje se odnose na ugovornu kaznu u takvom slučaju se ne primjenjuju, dok se ne normalizira stanje u sustavu. </w:t>
      </w:r>
    </w:p>
    <w:p>
      <w:pPr>
        <w:pStyle w:val="Heading2"/>
        <w:ind w:hanging="10" w:left="-5" w:right="0"/>
        <w:jc w:val="both"/>
        <w:rPr>
          <w:rFonts w:ascii="Times New Roman" w:hAnsi="Times New Roman"/>
        </w:rPr>
      </w:pPr>
      <w:r>
        <w:rPr>
          <w:rFonts w:cs="Calibri" w:ascii="Times New Roman" w:hAnsi="Times New Roman"/>
          <w:color w:val="111111"/>
          <w:sz w:val="24"/>
          <w:szCs w:val="24"/>
        </w:rPr>
        <w:t>Podnošenje prigovora u vezi neugode uzrokovane sustavom sakupljanja komunalnog otpada i podnošenja prigovora – reklamacije korisnika javne usluge</w:t>
      </w:r>
      <w:r>
        <w:rPr>
          <w:rFonts w:cs="Calibri" w:ascii="Times New Roman" w:hAnsi="Times New Roman"/>
          <w:color w:val="111111"/>
          <w:sz w:val="24"/>
          <w:szCs w:val="24"/>
          <w:u w:val="none"/>
        </w:rPr>
        <w:t xml:space="preserve"> </w:t>
      </w:r>
    </w:p>
    <w:p>
      <w:pPr>
        <w:pStyle w:val="Normal"/>
        <w:spacing w:lineRule="auto" w:line="247" w:before="0" w:after="27"/>
        <w:ind w:hanging="10" w:left="10" w:right="4"/>
        <w:jc w:val="center"/>
        <w:rPr>
          <w:rFonts w:ascii="Times New Roman" w:hAnsi="Times New Roman"/>
        </w:rPr>
      </w:pPr>
      <w:r>
        <w:rPr>
          <w:rFonts w:cs="Calibri" w:ascii="Times New Roman" w:hAnsi="Times New Roman"/>
          <w:b/>
          <w:color w:val="111111"/>
          <w:sz w:val="24"/>
          <w:szCs w:val="24"/>
        </w:rPr>
        <w:t xml:space="preserve">Članak 21. </w:t>
      </w:r>
    </w:p>
    <w:p>
      <w:pPr>
        <w:pStyle w:val="Normal"/>
        <w:numPr>
          <w:ilvl w:val="0"/>
          <w:numId w:val="9"/>
        </w:numPr>
        <w:spacing w:before="0" w:after="112"/>
        <w:ind w:hanging="297" w:left="297" w:right="0"/>
        <w:rPr>
          <w:rFonts w:ascii="Times New Roman" w:hAnsi="Times New Roman"/>
        </w:rPr>
      </w:pPr>
      <w:r>
        <w:rPr>
          <w:rFonts w:cs="Calibri" w:ascii="Times New Roman" w:hAnsi="Times New Roman"/>
          <w:color w:val="111111"/>
          <w:sz w:val="24"/>
          <w:szCs w:val="24"/>
        </w:rPr>
        <w:t xml:space="preserve">Prigovor u vezi neugode uzrokovane sustavom sakupljanja komunalnog otpada podnosi se komunalnom redaru, a komunalni redar rješenjem će obvezati uzročnika neugode na otklanjanje posljedica. U slučaju da je do neugode došlo zbog povrede odredbi ove Odluke, Zakona ili drugog propisa, komunalni redar može pokrenuti prekršajni postupak. </w:t>
      </w:r>
    </w:p>
    <w:p>
      <w:pPr>
        <w:pStyle w:val="Normal"/>
        <w:numPr>
          <w:ilvl w:val="0"/>
          <w:numId w:val="9"/>
        </w:numPr>
        <w:spacing w:before="0" w:after="112"/>
        <w:ind w:hanging="297" w:left="297" w:right="0"/>
        <w:rPr>
          <w:rFonts w:ascii="Times New Roman" w:hAnsi="Times New Roman"/>
        </w:rPr>
      </w:pPr>
      <w:r>
        <w:rPr>
          <w:rFonts w:cs="Calibri" w:ascii="Times New Roman" w:hAnsi="Times New Roman"/>
          <w:color w:val="111111"/>
          <w:sz w:val="24"/>
          <w:szCs w:val="24"/>
        </w:rPr>
        <w:t xml:space="preserve">Prigovor – reklamaciju u vezi korištenja i naplate javne usluge korisnik javne usluge može predati davatelju javne usluge pisanim putem, osobno ili poštom na urudžbeni zapisnik ili elektroničkom poštom na objavljenu službenu adresu elektroničke pošte davatelja javne usluge. Davatelj javne usluge dužan je korisniku javne usluge odgovoriti na prigovor – reklamaciju u roku od najviše 15 dana od datuma podnošenja iste, pisanim putem odnosno elektroničkom poštom, ovisno o zahtjevu korisnika javne usluge. Ukoliko korisnik javne usluge nije zadovoljan odgovorom, može na iste opisane načine podnijeti prigovor – reklamaciju Povjerenstvu za zaštitu potrošača. </w:t>
      </w:r>
    </w:p>
    <w:p>
      <w:pPr>
        <w:pStyle w:val="Normal"/>
        <w:numPr>
          <w:ilvl w:val="0"/>
          <w:numId w:val="9"/>
        </w:numPr>
        <w:spacing w:before="0" w:after="468"/>
        <w:ind w:hanging="297" w:left="297" w:right="0"/>
        <w:rPr>
          <w:rFonts w:ascii="Times New Roman" w:hAnsi="Times New Roman"/>
        </w:rPr>
      </w:pPr>
      <w:r>
        <w:rPr>
          <w:rFonts w:cs="Calibri" w:ascii="Times New Roman" w:hAnsi="Times New Roman"/>
          <w:color w:val="111111"/>
          <w:sz w:val="24"/>
          <w:szCs w:val="24"/>
        </w:rPr>
        <w:t xml:space="preserve">Rok za reklamaciju na ispostavljeni račun je 15 (petnaest) dana od dana primitka računa. </w:t>
      </w:r>
    </w:p>
    <w:p>
      <w:pPr>
        <w:pStyle w:val="Heading2"/>
        <w:ind w:hanging="10" w:left="-5" w:right="0"/>
        <w:rPr>
          <w:rFonts w:ascii="Times New Roman" w:hAnsi="Times New Roman"/>
        </w:rPr>
      </w:pPr>
      <w:r>
        <w:rPr>
          <w:rFonts w:ascii="Times New Roman" w:hAnsi="Times New Roman"/>
        </w:rPr>
      </w:r>
    </w:p>
    <w:p>
      <w:pPr>
        <w:pStyle w:val="Heading2"/>
        <w:ind w:hanging="10" w:left="-5" w:right="0"/>
        <w:rPr>
          <w:rFonts w:ascii="Times New Roman" w:hAnsi="Times New Roman"/>
        </w:rPr>
      </w:pPr>
      <w:r>
        <w:rPr>
          <w:rFonts w:cs="Calibri" w:ascii="Times New Roman" w:hAnsi="Times New Roman"/>
          <w:color w:val="111111"/>
          <w:sz w:val="24"/>
          <w:szCs w:val="24"/>
        </w:rPr>
        <w:t>Cijena javne usluge</w:t>
      </w:r>
      <w:r>
        <w:rPr>
          <w:rFonts w:cs="Calibri" w:ascii="Times New Roman" w:hAnsi="Times New Roman"/>
          <w:color w:val="111111"/>
          <w:sz w:val="24"/>
          <w:szCs w:val="24"/>
          <w:u w:val="none"/>
        </w:rPr>
        <w:t xml:space="preserve"> </w:t>
      </w:r>
    </w:p>
    <w:p>
      <w:pPr>
        <w:pStyle w:val="Normal"/>
        <w:spacing w:lineRule="auto" w:line="247" w:before="0" w:after="27"/>
        <w:ind w:hanging="10" w:left="10" w:right="4"/>
        <w:jc w:val="center"/>
        <w:rPr>
          <w:rFonts w:ascii="Times New Roman" w:hAnsi="Times New Roman"/>
        </w:rPr>
      </w:pPr>
      <w:r>
        <w:rPr>
          <w:rFonts w:cs="Calibri" w:ascii="Times New Roman" w:hAnsi="Times New Roman"/>
          <w:b/>
          <w:color w:val="111111"/>
          <w:sz w:val="24"/>
          <w:szCs w:val="24"/>
        </w:rPr>
        <w:t xml:space="preserve">Članak 22. </w:t>
      </w:r>
    </w:p>
    <w:p>
      <w:pPr>
        <w:pStyle w:val="Normal"/>
        <w:numPr>
          <w:ilvl w:val="0"/>
          <w:numId w:val="0"/>
        </w:numPr>
        <w:spacing w:before="0" w:after="101"/>
        <w:ind w:hanging="0" w:left="10" w:right="0"/>
        <w:rPr>
          <w:rFonts w:ascii="Times New Roman" w:hAnsi="Times New Roman"/>
        </w:rPr>
      </w:pPr>
      <w:r>
        <w:rPr>
          <w:rFonts w:cs="Calibri" w:ascii="Times New Roman" w:hAnsi="Times New Roman"/>
          <w:color w:val="111111"/>
          <w:sz w:val="24"/>
          <w:szCs w:val="24"/>
        </w:rPr>
        <w:t xml:space="preserve">(1) Strukturu cijene javne usluge čini: cijena obvezne minimalne javne usluge </w:t>
      </w:r>
      <w:r>
        <w:rPr>
          <w:rFonts w:cs="Calibri" w:ascii="Times New Roman" w:hAnsi="Times New Roman"/>
          <w:b/>
          <w:color w:val="111111"/>
          <w:sz w:val="24"/>
          <w:szCs w:val="24"/>
        </w:rPr>
        <w:t>(MJU)</w:t>
      </w:r>
      <w:r>
        <w:rPr>
          <w:rFonts w:cs="Calibri" w:ascii="Times New Roman" w:hAnsi="Times New Roman"/>
          <w:color w:val="111111"/>
          <w:sz w:val="24"/>
          <w:szCs w:val="24"/>
        </w:rPr>
        <w:t xml:space="preserve"> i cijena javne usluge za količinu predanog miješanog komunalnog otpada</w:t>
      </w:r>
      <w:r>
        <w:rPr>
          <w:rFonts w:cs="Calibri" w:ascii="Times New Roman" w:hAnsi="Times New Roman"/>
          <w:b/>
          <w:color w:val="111111"/>
          <w:sz w:val="24"/>
          <w:szCs w:val="24"/>
        </w:rPr>
        <w:t xml:space="preserve"> (C)</w:t>
      </w:r>
      <w:r>
        <w:rPr>
          <w:rFonts w:cs="Calibri" w:ascii="Times New Roman" w:hAnsi="Times New Roman"/>
          <w:color w:val="111111"/>
          <w:sz w:val="24"/>
          <w:szCs w:val="24"/>
        </w:rPr>
        <w:t xml:space="preserve">, a određuje se prema izrazu: </w:t>
      </w:r>
      <w:r>
        <w:rPr>
          <w:rFonts w:cs="Calibri" w:ascii="Times New Roman" w:hAnsi="Times New Roman"/>
          <w:b/>
          <w:color w:val="111111"/>
          <w:sz w:val="24"/>
          <w:szCs w:val="24"/>
        </w:rPr>
        <w:t xml:space="preserve">CJU = MJU + C  </w:t>
      </w:r>
    </w:p>
    <w:p>
      <w:pPr>
        <w:pStyle w:val="Normal"/>
        <w:spacing w:before="0" w:after="112"/>
        <w:ind w:hanging="10" w:left="-5" w:right="0"/>
        <w:rPr>
          <w:rFonts w:ascii="Times New Roman" w:hAnsi="Times New Roman"/>
        </w:rPr>
      </w:pPr>
      <w:r>
        <w:rPr>
          <w:rFonts w:cs="Calibri" w:ascii="Times New Roman" w:hAnsi="Times New Roman"/>
          <w:color w:val="111111"/>
          <w:sz w:val="24"/>
          <w:szCs w:val="24"/>
        </w:rPr>
        <w:t xml:space="preserve">Korisnik javne usluge dužan je platiti davatelju usluge iznos cijene za obračunsko mjesto i obračunsko razdoblje, osim ako je riječ o obračunskom mjestu na kojem se nekretnina trajno ne koristi u smislu članka 71. Zakona. </w:t>
      </w:r>
    </w:p>
    <w:p>
      <w:pPr>
        <w:pStyle w:val="Default"/>
        <w:numPr>
          <w:ilvl w:val="0"/>
          <w:numId w:val="0"/>
        </w:numPr>
        <w:spacing w:before="171" w:after="171"/>
        <w:ind w:hanging="0" w:left="0"/>
        <w:jc w:val="both"/>
        <w:rPr>
          <w:rFonts w:ascii="Times New Roman" w:hAnsi="Times New Roman"/>
        </w:rPr>
      </w:pPr>
      <w:r>
        <w:rPr>
          <w:rFonts w:cs="Calibri"/>
          <w:color w:val="111111"/>
          <w:sz w:val="24"/>
          <w:szCs w:val="24"/>
        </w:rPr>
        <w:t>(2) Cijena obvezne minimalne javne usluge pokriva troškove javne usluge koju je potrebno osigurati kako bi sustav sakupljanja komunalnog otpada mogao ispuniti svoju svrhu poštujući pritom obvezu o osiguranju primjene načela „onečišćivač plaća”, načela ekonomski održivog poslovanja te sigurnosti, redovitosti i kvalitete pružanja javne usluge sukladno Zakonu, ovoj Odluci i drugim propisima.</w:t>
      </w:r>
    </w:p>
    <w:p>
      <w:pPr>
        <w:pStyle w:val="Default"/>
        <w:numPr>
          <w:ilvl w:val="0"/>
          <w:numId w:val="0"/>
        </w:numPr>
        <w:ind w:hanging="0" w:left="0"/>
        <w:jc w:val="both"/>
        <w:rPr>
          <w:rFonts w:ascii="Times New Roman" w:hAnsi="Times New Roman"/>
        </w:rPr>
      </w:pPr>
      <w:r>
        <w:rPr>
          <w:rFonts w:cs="Calibri"/>
          <w:color w:val="111111"/>
          <w:sz w:val="24"/>
          <w:szCs w:val="24"/>
        </w:rPr>
        <w:t>(3) Cijena obvezne minimalne javne usluge za korisnika kategorije kućanstvo jedinstvena je na čitavom području primjene ove Odluke, a iznosi:</w:t>
      </w:r>
    </w:p>
    <w:p>
      <w:pPr>
        <w:pStyle w:val="Default"/>
        <w:numPr>
          <w:ilvl w:val="0"/>
          <w:numId w:val="0"/>
        </w:numPr>
        <w:ind w:hanging="0" w:left="0"/>
        <w:jc w:val="both"/>
        <w:rPr>
          <w:b/>
          <w:bCs/>
        </w:rPr>
      </w:pPr>
      <w:r>
        <w:rPr>
          <w:rFonts w:cs="Calibri"/>
          <w:b/>
          <w:bCs/>
          <w:color w:val="111111"/>
          <w:sz w:val="24"/>
          <w:szCs w:val="24"/>
        </w:rPr>
        <w:t>6,09 EUR (slovima: šesteura i devetcenta) mjesečno, bez PDV-a.</w:t>
      </w:r>
    </w:p>
    <w:p>
      <w:pPr>
        <w:pStyle w:val="Default"/>
        <w:jc w:val="both"/>
        <w:rPr>
          <w:rFonts w:ascii="Times New Roman" w:hAnsi="Times New Roman" w:cs="Calibri"/>
          <w:color w:val="111111"/>
          <w:sz w:val="24"/>
          <w:szCs w:val="24"/>
        </w:rPr>
      </w:pPr>
      <w:r>
        <w:rPr>
          <w:rFonts w:cs="Calibri"/>
          <w:color w:val="111111"/>
          <w:sz w:val="24"/>
          <w:szCs w:val="24"/>
        </w:rPr>
        <w:t>Cijena obvezne minimalne javne usluge za korisnika koji nije kućanstvo jedinstvena je na čitavom području primjene ove Odluke, a iznosi:</w:t>
      </w:r>
    </w:p>
    <w:p>
      <w:pPr>
        <w:pStyle w:val="Default"/>
        <w:numPr>
          <w:ilvl w:val="0"/>
          <w:numId w:val="0"/>
        </w:numPr>
        <w:spacing w:before="0" w:after="0"/>
        <w:ind w:hanging="0" w:left="0"/>
        <w:jc w:val="both"/>
        <w:rPr/>
      </w:pPr>
      <w:r>
        <w:rPr>
          <w:b/>
          <w:bCs/>
        </w:rPr>
        <w:t>6,09 EUR (slovima: šesteura i devetcenta) mjesečno, bez PDV-a.</w:t>
      </w:r>
    </w:p>
    <w:p>
      <w:pPr>
        <w:pStyle w:val="Default"/>
        <w:numPr>
          <w:ilvl w:val="0"/>
          <w:numId w:val="0"/>
        </w:numPr>
        <w:spacing w:before="0" w:after="0"/>
        <w:ind w:hanging="0" w:left="0"/>
        <w:jc w:val="both"/>
        <w:rPr>
          <w:b/>
          <w:bCs/>
        </w:rPr>
      </w:pPr>
      <w:r>
        <w:rPr>
          <w:b/>
          <w:bCs/>
        </w:rPr>
      </w:r>
    </w:p>
    <w:p>
      <w:pPr>
        <w:pStyle w:val="Default"/>
        <w:jc w:val="both"/>
        <w:rPr>
          <w:rFonts w:ascii="Times New Roman" w:hAnsi="Times New Roman"/>
        </w:rPr>
      </w:pPr>
      <w:r>
        <w:rPr>
          <w:rFonts w:cs="Calibri"/>
          <w:color w:val="111111"/>
          <w:sz w:val="24"/>
          <w:szCs w:val="24"/>
        </w:rPr>
        <w:t xml:space="preserve">(4) Cijena javne usluge za predanu količinu miješanog komunalnog otpada naplaćuje se razmjerno količini predanog otpada, sukladno kriteriju iz članka 5. ove Odluke, odnosno podatcima iz evidencije o predanom otpadu. </w:t>
      </w:r>
    </w:p>
    <w:p>
      <w:pPr>
        <w:pStyle w:val="Default"/>
        <w:jc w:val="both"/>
        <w:rPr>
          <w:rFonts w:ascii="Times New Roman" w:hAnsi="Times New Roman" w:cs="Calibri"/>
          <w:color w:val="111111"/>
          <w:sz w:val="24"/>
          <w:szCs w:val="24"/>
        </w:rPr>
      </w:pPr>
      <w:r>
        <w:rPr>
          <w:rFonts w:cs="Calibri"/>
          <w:color w:val="111111"/>
          <w:sz w:val="24"/>
          <w:szCs w:val="24"/>
        </w:rPr>
      </w:r>
    </w:p>
    <w:p>
      <w:pPr>
        <w:pStyle w:val="Default"/>
        <w:ind w:hanging="0" w:left="10" w:right="0"/>
        <w:jc w:val="both"/>
        <w:rPr>
          <w:rFonts w:ascii="Times New Roman" w:hAnsi="Times New Roman"/>
        </w:rPr>
      </w:pPr>
      <w:r>
        <w:rPr>
          <w:rFonts w:cs="Calibri"/>
          <w:color w:val="111111"/>
          <w:sz w:val="24"/>
          <w:szCs w:val="24"/>
        </w:rPr>
        <w:t xml:space="preserve">Cijena javne usluge za predanu količinu miješanog komunalnog otpada određuje se prema izrazu: </w:t>
      </w:r>
    </w:p>
    <w:p>
      <w:pPr>
        <w:pStyle w:val="Default"/>
        <w:jc w:val="center"/>
        <w:rPr>
          <w:b/>
          <w:bCs/>
        </w:rPr>
      </w:pPr>
      <w:r>
        <w:rPr>
          <w:rFonts w:cs="Calibri"/>
          <w:b/>
          <w:bCs/>
          <w:color w:val="111111"/>
          <w:sz w:val="24"/>
          <w:szCs w:val="24"/>
        </w:rPr>
        <w:t>C = JCV x BP x U</w:t>
      </w:r>
    </w:p>
    <w:p>
      <w:pPr>
        <w:pStyle w:val="Default"/>
        <w:jc w:val="center"/>
        <w:rPr>
          <w:rFonts w:ascii="Times New Roman" w:hAnsi="Times New Roman" w:cs="Calibri"/>
          <w:color w:val="111111"/>
          <w:sz w:val="24"/>
          <w:szCs w:val="24"/>
        </w:rPr>
      </w:pPr>
      <w:r>
        <w:rPr>
          <w:rFonts w:cs="Calibri"/>
          <w:color w:val="111111"/>
          <w:sz w:val="24"/>
          <w:szCs w:val="24"/>
        </w:rPr>
      </w:r>
    </w:p>
    <w:p>
      <w:pPr>
        <w:pStyle w:val="Default"/>
        <w:jc w:val="both"/>
        <w:rPr>
          <w:rFonts w:ascii="Times New Roman" w:hAnsi="Times New Roman"/>
        </w:rPr>
      </w:pPr>
      <w:r>
        <w:rPr>
          <w:color w:val="111111"/>
          <w:sz w:val="24"/>
          <w:szCs w:val="24"/>
        </w:rPr>
        <w:t xml:space="preserve">gdje je: </w:t>
      </w:r>
    </w:p>
    <w:p>
      <w:pPr>
        <w:pStyle w:val="Default"/>
        <w:jc w:val="both"/>
        <w:rPr>
          <w:rFonts w:ascii="Times New Roman" w:hAnsi="Times New Roman"/>
        </w:rPr>
      </w:pPr>
      <w:r>
        <w:rPr>
          <w:rFonts w:cs="Calibri"/>
          <w:b/>
          <w:bCs/>
          <w:color w:val="111111"/>
          <w:sz w:val="24"/>
          <w:szCs w:val="24"/>
        </w:rPr>
        <w:t>C</w:t>
      </w:r>
      <w:r>
        <w:rPr>
          <w:rFonts w:cs="Calibri"/>
          <w:color w:val="111111"/>
          <w:sz w:val="24"/>
          <w:szCs w:val="24"/>
        </w:rPr>
        <w:t xml:space="preserve"> – cijena javne usluge za količinu predanog miješanog komunalnog otpada izražena u eurima; </w:t>
      </w:r>
      <w:r>
        <w:rPr>
          <w:rFonts w:cs="Calibri"/>
          <w:b/>
          <w:bCs/>
          <w:color w:val="111111"/>
          <w:sz w:val="24"/>
          <w:szCs w:val="24"/>
        </w:rPr>
        <w:t>JCV</w:t>
      </w:r>
      <w:r>
        <w:rPr>
          <w:rFonts w:cs="Calibri"/>
          <w:color w:val="111111"/>
          <w:sz w:val="24"/>
          <w:szCs w:val="24"/>
        </w:rPr>
        <w:t xml:space="preserve"> – jedinična cijena za pražnjenje određenog volumena spremnika miješanog komunalnog otpada, izražena u eurima sukladno Cjeniku; </w:t>
      </w:r>
    </w:p>
    <w:p>
      <w:pPr>
        <w:pStyle w:val="Default"/>
        <w:jc w:val="both"/>
        <w:rPr>
          <w:rFonts w:ascii="Times New Roman" w:hAnsi="Times New Roman"/>
        </w:rPr>
      </w:pPr>
      <w:r>
        <w:rPr>
          <w:rFonts w:cs="Calibri"/>
          <w:b/>
          <w:bCs/>
          <w:color w:val="111111"/>
          <w:sz w:val="24"/>
          <w:szCs w:val="24"/>
        </w:rPr>
        <w:t>BP</w:t>
      </w:r>
      <w:r>
        <w:rPr>
          <w:rFonts w:cs="Calibri"/>
          <w:color w:val="111111"/>
          <w:sz w:val="24"/>
          <w:szCs w:val="24"/>
        </w:rPr>
        <w:t xml:space="preserve"> – broj pražnjenja spremnika miješanog komunalnog otpada u obračunskom razdoblju sukladno podacima u evidenciji o pražnjenju spremnika; </w:t>
      </w:r>
    </w:p>
    <w:p>
      <w:pPr>
        <w:pStyle w:val="Default"/>
        <w:jc w:val="both"/>
        <w:rPr>
          <w:rFonts w:ascii="Times New Roman" w:hAnsi="Times New Roman"/>
        </w:rPr>
      </w:pPr>
      <w:r>
        <w:rPr>
          <w:rFonts w:cs="Calibri"/>
          <w:b/>
          <w:bCs/>
          <w:color w:val="111111"/>
          <w:sz w:val="24"/>
          <w:szCs w:val="24"/>
        </w:rPr>
        <w:t>U</w:t>
      </w:r>
      <w:r>
        <w:rPr>
          <w:rFonts w:cs="Calibri"/>
          <w:color w:val="111111"/>
          <w:sz w:val="24"/>
          <w:szCs w:val="24"/>
        </w:rPr>
        <w:t xml:space="preserve"> – udio korisnika javne usluge u korištenju spremnika. </w:t>
      </w:r>
    </w:p>
    <w:p>
      <w:pPr>
        <w:pStyle w:val="Default"/>
        <w:jc w:val="both"/>
        <w:rPr>
          <w:rFonts w:ascii="Times New Roman" w:hAnsi="Times New Roman" w:cs="Calibri"/>
          <w:color w:val="111111"/>
          <w:sz w:val="24"/>
          <w:szCs w:val="24"/>
        </w:rPr>
      </w:pPr>
      <w:r>
        <w:rPr>
          <w:rFonts w:cs="Calibri"/>
          <w:color w:val="111111"/>
          <w:sz w:val="24"/>
          <w:szCs w:val="24"/>
        </w:rPr>
      </w:r>
    </w:p>
    <w:p>
      <w:pPr>
        <w:pStyle w:val="Default"/>
        <w:jc w:val="both"/>
        <w:rPr>
          <w:rFonts w:ascii="Times New Roman" w:hAnsi="Times New Roman"/>
        </w:rPr>
      </w:pPr>
      <w:r>
        <w:rPr>
          <w:rFonts w:cs="Calibri"/>
          <w:color w:val="111111"/>
          <w:sz w:val="24"/>
          <w:szCs w:val="24"/>
        </w:rPr>
        <w:t>(5) Kad jedan korisnik javne usluge samostalno koristi spremnik, udio korisnika javne usluge u korištenju spremnika iznosi 1. Kad više korisnika javne usluge zajednički koriste spremnik, zbroj udjela svih korisnika, određenih međusobnim sporazumom ili prijedlogom davatelja javne usluge, mora iznositi 1.</w:t>
      </w:r>
    </w:p>
    <w:p>
      <w:pPr>
        <w:pStyle w:val="Default"/>
        <w:jc w:val="both"/>
        <w:rPr>
          <w:rFonts w:ascii="Times New Roman" w:hAnsi="Times New Roman"/>
        </w:rPr>
      </w:pPr>
      <w:r>
        <w:rPr>
          <w:rFonts w:cs="Calibri"/>
          <w:color w:val="111111"/>
          <w:sz w:val="24"/>
          <w:szCs w:val="24"/>
        </w:rPr>
        <w:t xml:space="preserve">  </w:t>
      </w:r>
    </w:p>
    <w:p>
      <w:pPr>
        <w:pStyle w:val="Default"/>
        <w:jc w:val="both"/>
        <w:rPr>
          <w:rFonts w:ascii="Times New Roman" w:hAnsi="Times New Roman"/>
        </w:rPr>
      </w:pPr>
      <w:r>
        <w:rPr/>
      </w:r>
    </w:p>
    <w:p>
      <w:pPr>
        <w:pStyle w:val="Default"/>
        <w:rPr>
          <w:rFonts w:ascii="Times New Roman" w:hAnsi="Times New Roman"/>
        </w:rPr>
      </w:pPr>
      <w:r>
        <w:rPr>
          <w:rFonts w:cs="Calibri"/>
          <w:b/>
          <w:bCs/>
          <w:color w:val="111111"/>
          <w:sz w:val="24"/>
          <w:szCs w:val="24"/>
          <w:u w:val="single"/>
        </w:rPr>
        <w:t>Kriteriji za umanjenje cijene javne usluge</w:t>
      </w:r>
    </w:p>
    <w:p>
      <w:pPr>
        <w:pStyle w:val="Default"/>
        <w:rPr>
          <w:rFonts w:ascii="Times New Roman" w:hAnsi="Times New Roman"/>
        </w:rPr>
      </w:pPr>
      <w:r>
        <w:rPr/>
      </w:r>
    </w:p>
    <w:p>
      <w:pPr>
        <w:pStyle w:val="Default"/>
        <w:jc w:val="center"/>
        <w:rPr/>
      </w:pPr>
      <w:r>
        <w:rPr>
          <w:b/>
          <w:bCs/>
        </w:rPr>
        <w:t>Članak 23.</w:t>
      </w:r>
    </w:p>
    <w:p>
      <w:pPr>
        <w:pStyle w:val="Default"/>
        <w:numPr>
          <w:ilvl w:val="0"/>
          <w:numId w:val="0"/>
        </w:numPr>
        <w:ind w:hanging="0" w:left="0" w:right="0"/>
        <w:jc w:val="both"/>
        <w:rPr>
          <w:rFonts w:ascii="Times New Roman" w:hAnsi="Times New Roman"/>
        </w:rPr>
      </w:pPr>
      <w:r>
        <w:rPr>
          <w:rFonts w:cs="Calibri"/>
          <w:color w:val="111111"/>
          <w:sz w:val="24"/>
          <w:szCs w:val="24"/>
        </w:rPr>
        <w:t>Korisniku kategorije kućanstvo, potkategorija a. obiteljske kuće, koji kompostira biootpad u vlastitom komposteru cijena minimalne javne usluge umanjit će se na mjesečno računu za 0,00 EUR (slovima: nulaeura).</w:t>
      </w:r>
    </w:p>
    <w:p>
      <w:pPr>
        <w:pStyle w:val="Default"/>
        <w:numPr>
          <w:ilvl w:val="0"/>
          <w:numId w:val="0"/>
        </w:numPr>
        <w:ind w:hanging="0" w:left="0" w:right="0"/>
        <w:jc w:val="both"/>
        <w:rPr>
          <w:rFonts w:ascii="Times New Roman" w:hAnsi="Times New Roman"/>
        </w:rPr>
      </w:pPr>
      <w:r>
        <w:rPr>
          <w:rFonts w:cs="Calibri"/>
          <w:color w:val="111111"/>
          <w:sz w:val="24"/>
          <w:szCs w:val="24"/>
        </w:rPr>
        <w:t>Smatrat će se da korisnik uredno provodi kompostiranje biootpada ako je preuzeo komposter od davatelja javne usluge, ili je u Izjavi naveo da posjeduje vlastiti komposter te da želi kompostirati biootpad.</w:t>
      </w:r>
    </w:p>
    <w:p>
      <w:pPr>
        <w:pStyle w:val="Default"/>
        <w:jc w:val="both"/>
        <w:rPr>
          <w:rFonts w:ascii="Times New Roman" w:hAnsi="Times New Roman" w:cs="Calibri"/>
          <w:color w:val="111111"/>
          <w:sz w:val="24"/>
          <w:szCs w:val="24"/>
        </w:rPr>
      </w:pPr>
      <w:r>
        <w:rPr>
          <w:rFonts w:cs="Calibri"/>
          <w:color w:val="111111"/>
          <w:sz w:val="24"/>
          <w:szCs w:val="24"/>
        </w:rPr>
      </w:r>
    </w:p>
    <w:p>
      <w:pPr>
        <w:pStyle w:val="Default"/>
        <w:jc w:val="both"/>
        <w:rPr>
          <w:rFonts w:ascii="Times New Roman" w:hAnsi="Times New Roman" w:cs="Calibri"/>
          <w:color w:val="111111"/>
          <w:sz w:val="24"/>
          <w:szCs w:val="24"/>
        </w:rPr>
      </w:pPr>
      <w:r>
        <w:rPr>
          <w:rFonts w:cs="Calibri"/>
          <w:color w:val="111111"/>
          <w:sz w:val="24"/>
          <w:szCs w:val="24"/>
        </w:rPr>
      </w:r>
    </w:p>
    <w:p>
      <w:pPr>
        <w:pStyle w:val="Default"/>
        <w:rPr>
          <w:rFonts w:ascii="Times New Roman" w:hAnsi="Times New Roman"/>
        </w:rPr>
      </w:pPr>
      <w:r>
        <w:rPr>
          <w:rFonts w:cs="Calibri"/>
          <w:b/>
          <w:bCs/>
          <w:color w:val="111111"/>
          <w:sz w:val="24"/>
          <w:szCs w:val="24"/>
          <w:u w:val="single"/>
        </w:rPr>
        <w:t>Utvrđivanje korisnika javne usluge u čije ime Općina Marijanci preuzima obvezu sufinanciranja cijene javne usluge</w:t>
      </w:r>
    </w:p>
    <w:p>
      <w:pPr>
        <w:pStyle w:val="Default"/>
        <w:rPr>
          <w:rFonts w:ascii="Times New Roman" w:hAnsi="Times New Roman"/>
        </w:rPr>
      </w:pPr>
      <w:r>
        <w:rPr/>
      </w:r>
    </w:p>
    <w:p>
      <w:pPr>
        <w:pStyle w:val="Default"/>
        <w:jc w:val="center"/>
        <w:rPr/>
      </w:pPr>
      <w:r>
        <w:rPr>
          <w:b/>
          <w:bCs/>
          <w:u w:val="none"/>
        </w:rPr>
        <w:t>Članak 24.</w:t>
      </w:r>
    </w:p>
    <w:p>
      <w:pPr>
        <w:pStyle w:val="Default"/>
        <w:numPr>
          <w:ilvl w:val="0"/>
          <w:numId w:val="0"/>
        </w:numPr>
        <w:spacing w:before="114" w:after="114"/>
        <w:ind w:hanging="0" w:left="0" w:right="0"/>
        <w:jc w:val="both"/>
        <w:rPr>
          <w:rFonts w:ascii="Times New Roman" w:hAnsi="Times New Roman"/>
        </w:rPr>
      </w:pPr>
      <w:r>
        <w:rPr>
          <w:rFonts w:cs="Calibri"/>
          <w:color w:val="111111"/>
          <w:sz w:val="24"/>
          <w:szCs w:val="24"/>
        </w:rPr>
        <w:t>(1) Općina Marijanci preuzima obvezu plaćanja cijene javne usluge za korisnike socijalne skrbi koji sukladno važećim propisima o socijalnoj skrbi ostvaruju pravo na naknadu za  troškove stanovanja. JUO Općine Marijanci dostavlja davatelju javne usluge ažurirani popis korisnika, na temelju kojeg davatelj javne usluge Općini Marijanci ispostavlja jedinstveni mjesečni račun, sa specifikacijom cijene pojedinačno po korisniku za sve korisnike na popisu.</w:t>
      </w:r>
    </w:p>
    <w:p>
      <w:pPr>
        <w:pStyle w:val="Default"/>
        <w:numPr>
          <w:ilvl w:val="0"/>
          <w:numId w:val="0"/>
        </w:numPr>
        <w:ind w:hanging="0" w:left="0" w:right="0"/>
        <w:jc w:val="both"/>
        <w:rPr>
          <w:rFonts w:ascii="Times New Roman" w:hAnsi="Times New Roman"/>
        </w:rPr>
      </w:pPr>
      <w:r>
        <w:rPr>
          <w:rFonts w:cs="Calibri"/>
          <w:color w:val="111111"/>
          <w:sz w:val="24"/>
          <w:szCs w:val="24"/>
        </w:rPr>
        <w:t xml:space="preserve">(2) </w:t>
      </w:r>
      <w:r>
        <w:rPr>
          <w:rFonts w:cs="Calibri"/>
          <w:b w:val="false"/>
          <w:bCs w:val="false"/>
          <w:color w:val="111111"/>
          <w:sz w:val="24"/>
          <w:szCs w:val="24"/>
        </w:rPr>
        <w:t>Općina Marijanci preuzima obvezu plaćanja cijene javne usluge za korisnike koje odredi JUO Općina Marijanci. Općina Marijanci dostavlja davatelju javne usluge ažurirani popis korisnika, a davatelj javne usluge dužan je mjesečno ispostaviti Općini Marijanci jedinstveni račun za cijenu javne usluge sa specifikacijom cijene pojedinačno po korisniku za sve korisnike na popisu.</w:t>
      </w:r>
    </w:p>
    <w:p>
      <w:pPr>
        <w:pStyle w:val="Default"/>
        <w:jc w:val="both"/>
        <w:rPr>
          <w:rFonts w:ascii="Times New Roman" w:hAnsi="Times New Roman" w:cs="Calibri"/>
          <w:color w:val="111111"/>
          <w:sz w:val="24"/>
          <w:szCs w:val="24"/>
        </w:rPr>
      </w:pPr>
      <w:r>
        <w:rPr>
          <w:rFonts w:cs="Calibri"/>
          <w:color w:val="111111"/>
          <w:sz w:val="24"/>
          <w:szCs w:val="24"/>
        </w:rPr>
      </w:r>
    </w:p>
    <w:p>
      <w:pPr>
        <w:pStyle w:val="Default"/>
        <w:jc w:val="both"/>
        <w:rPr>
          <w:rFonts w:ascii="Times New Roman" w:hAnsi="Times New Roman" w:cs="Calibri"/>
          <w:color w:val="111111"/>
          <w:sz w:val="24"/>
          <w:szCs w:val="24"/>
        </w:rPr>
      </w:pPr>
      <w:r>
        <w:rPr>
          <w:rFonts w:cs="Calibri"/>
          <w:color w:val="111111"/>
          <w:sz w:val="24"/>
          <w:szCs w:val="24"/>
        </w:rPr>
      </w:r>
    </w:p>
    <w:p>
      <w:pPr>
        <w:pStyle w:val="Heading2"/>
        <w:ind w:hanging="0" w:left="0" w:right="0"/>
        <w:rPr>
          <w:rFonts w:ascii="Times New Roman" w:hAnsi="Times New Roman"/>
        </w:rPr>
      </w:pPr>
      <w:r>
        <w:rPr>
          <w:rFonts w:cs="Calibri" w:ascii="Times New Roman" w:hAnsi="Times New Roman"/>
          <w:color w:val="111111"/>
          <w:sz w:val="24"/>
          <w:szCs w:val="24"/>
        </w:rPr>
        <w:t>Odredbe o ugovornoj kazni</w:t>
      </w:r>
      <w:r>
        <w:rPr>
          <w:rFonts w:cs="Calibri" w:ascii="Times New Roman" w:hAnsi="Times New Roman"/>
          <w:color w:val="111111"/>
          <w:sz w:val="24"/>
          <w:szCs w:val="24"/>
          <w:u w:val="none"/>
        </w:rPr>
        <w:t xml:space="preserve"> </w:t>
      </w:r>
    </w:p>
    <w:p>
      <w:pPr>
        <w:pStyle w:val="Normal"/>
        <w:spacing w:lineRule="auto" w:line="247" w:before="0" w:after="27"/>
        <w:ind w:hanging="10" w:left="10" w:right="4"/>
        <w:jc w:val="center"/>
        <w:rPr>
          <w:rFonts w:ascii="Times New Roman" w:hAnsi="Times New Roman"/>
        </w:rPr>
      </w:pPr>
      <w:r>
        <w:rPr>
          <w:rFonts w:cs="Calibri" w:ascii="Times New Roman" w:hAnsi="Times New Roman"/>
          <w:b/>
          <w:color w:val="111111"/>
          <w:sz w:val="24"/>
          <w:szCs w:val="24"/>
        </w:rPr>
        <w:t xml:space="preserve">Članak 25. </w:t>
      </w:r>
    </w:p>
    <w:p>
      <w:pPr>
        <w:pStyle w:val="Normal"/>
        <w:numPr>
          <w:ilvl w:val="0"/>
          <w:numId w:val="0"/>
        </w:numPr>
        <w:spacing w:before="0" w:after="184"/>
        <w:ind w:hanging="0" w:left="10" w:right="0"/>
        <w:rPr>
          <w:rFonts w:ascii="Times New Roman" w:hAnsi="Times New Roman"/>
        </w:rPr>
      </w:pPr>
      <w:r>
        <w:rPr>
          <w:rFonts w:cs="Calibri" w:ascii="Times New Roman" w:hAnsi="Times New Roman"/>
          <w:color w:val="111111"/>
          <w:sz w:val="24"/>
          <w:szCs w:val="24"/>
        </w:rPr>
        <w:t xml:space="preserve">(1) Ugovornu kaznu određenu ovom Odlukom korisnik javne usluge dužan je platiti davatelju javne usluge u slučaju kad je postupio protivno Ugovoru. U nastavku se određuju situacije u kojima se smatra da je korisnik javne usluge postupio protivno Ugovoru i iznos ugovorne kazne u pojedinom slučaju:  </w:t>
      </w:r>
    </w:p>
    <w:p>
      <w:pPr>
        <w:pStyle w:val="Normal"/>
        <w:numPr>
          <w:ilvl w:val="0"/>
          <w:numId w:val="0"/>
        </w:numPr>
        <w:spacing w:before="0" w:after="146"/>
        <w:ind w:hanging="0" w:left="708" w:right="0"/>
        <w:rPr>
          <w:rFonts w:ascii="Times New Roman" w:hAnsi="Times New Roman"/>
        </w:rPr>
      </w:pPr>
      <w:r>
        <w:rPr>
          <w:rFonts w:cs="Calibri" w:ascii="Times New Roman" w:hAnsi="Times New Roman"/>
          <w:color w:val="111111"/>
          <w:sz w:val="24"/>
          <w:szCs w:val="24"/>
        </w:rPr>
        <w:t>1. kad u Izjavi o korištenju javne usluge ili zahtjevu za izmjenu Izjave unese lažne podatke:</w:t>
      </w:r>
      <w:r>
        <w:rPr>
          <w:rFonts w:cs="Calibri" w:ascii="Times New Roman" w:hAnsi="Times New Roman"/>
          <w:color w:val="111111"/>
          <w:sz w:val="24"/>
          <w:szCs w:val="24"/>
          <w:shd w:fill="auto" w:val="clear"/>
        </w:rPr>
        <w:t xml:space="preserve"> 73,00 </w:t>
      </w:r>
      <w:r>
        <w:rPr>
          <w:rFonts w:cs="Calibri" w:ascii="Times New Roman" w:hAnsi="Times New Roman"/>
          <w:b w:val="false"/>
          <w:bCs w:val="false"/>
          <w:color w:val="111111"/>
          <w:sz w:val="24"/>
          <w:szCs w:val="24"/>
          <w:shd w:fill="auto" w:val="clear"/>
        </w:rPr>
        <w:t>EUR</w:t>
      </w:r>
      <w:r>
        <w:rPr>
          <w:rFonts w:cs="Calibri" w:ascii="Times New Roman" w:hAnsi="Times New Roman"/>
          <w:color w:val="111111"/>
          <w:sz w:val="24"/>
          <w:szCs w:val="24"/>
        </w:rPr>
        <w:t xml:space="preserve">; </w:t>
      </w:r>
    </w:p>
    <w:p>
      <w:pPr>
        <w:pStyle w:val="Normal"/>
        <w:numPr>
          <w:ilvl w:val="0"/>
          <w:numId w:val="0"/>
        </w:numPr>
        <w:spacing w:before="0" w:after="146"/>
        <w:ind w:hanging="0" w:left="708" w:right="0"/>
        <w:rPr>
          <w:rFonts w:ascii="Times New Roman" w:hAnsi="Times New Roman"/>
        </w:rPr>
      </w:pPr>
      <w:r>
        <w:rPr>
          <w:rFonts w:cs="Calibri" w:ascii="Times New Roman" w:hAnsi="Times New Roman"/>
          <w:color w:val="111111"/>
          <w:sz w:val="24"/>
          <w:szCs w:val="24"/>
        </w:rPr>
        <w:t>2. kad ne predaje otpad davatelju javne usluge (ne zaduži spremnik za miješani komunalni otpad i/ili izjavljuje da trajno ne koristi nekretninu) a na temelju podataka očitanja mjernih uređaja za potrošnju električne energije, plina, pitke vode ili na drugi način davatelj javne usluge nepobitno utvrdi da korisnik javne usluge ipak koristi nekretninu:</w:t>
      </w:r>
      <w:r>
        <w:rPr>
          <w:rFonts w:cs="Calibri" w:ascii="Times New Roman" w:hAnsi="Times New Roman"/>
          <w:color w:val="111111"/>
          <w:sz w:val="24"/>
          <w:szCs w:val="24"/>
          <w:shd w:fill="auto" w:val="clear"/>
        </w:rPr>
        <w:t xml:space="preserve"> 73,00 EUR</w:t>
      </w:r>
      <w:r>
        <w:rPr>
          <w:rFonts w:cs="Calibri" w:ascii="Times New Roman" w:hAnsi="Times New Roman"/>
          <w:color w:val="111111"/>
          <w:sz w:val="24"/>
          <w:szCs w:val="24"/>
        </w:rPr>
        <w:t xml:space="preserve">; </w:t>
      </w:r>
    </w:p>
    <w:p>
      <w:pPr>
        <w:pStyle w:val="Normal"/>
        <w:numPr>
          <w:ilvl w:val="0"/>
          <w:numId w:val="0"/>
        </w:numPr>
        <w:spacing w:before="0" w:after="146"/>
        <w:ind w:hanging="0" w:left="708" w:right="0"/>
        <w:rPr>
          <w:rFonts w:ascii="Times New Roman" w:hAnsi="Times New Roman"/>
        </w:rPr>
      </w:pPr>
      <w:r>
        <w:rPr>
          <w:rFonts w:cs="Calibri" w:ascii="Times New Roman" w:hAnsi="Times New Roman"/>
          <w:color w:val="111111"/>
          <w:sz w:val="24"/>
          <w:szCs w:val="24"/>
        </w:rPr>
        <w:t xml:space="preserve">3. kad odlaže otpad pored spremnika ne koristeći odgovarajuće vrećice s logotipom davatelja javne usluge: 73,00 EUR; </w:t>
      </w:r>
    </w:p>
    <w:p>
      <w:pPr>
        <w:pStyle w:val="Normal"/>
        <w:numPr>
          <w:ilvl w:val="0"/>
          <w:numId w:val="0"/>
        </w:numPr>
        <w:spacing w:before="0" w:after="143"/>
        <w:ind w:hanging="0" w:left="708" w:right="0"/>
        <w:rPr>
          <w:rFonts w:ascii="Times New Roman" w:hAnsi="Times New Roman"/>
        </w:rPr>
      </w:pPr>
      <w:r>
        <w:rPr>
          <w:rFonts w:cs="Calibri" w:ascii="Times New Roman" w:hAnsi="Times New Roman"/>
          <w:color w:val="111111"/>
          <w:sz w:val="24"/>
          <w:szCs w:val="24"/>
        </w:rPr>
        <w:t>4. kad ne dopusti ovlaštenim osobama davatelja javne usluge pristup svojoj nekretnini I nadzor kompostera za biootpad, ukoliko koristi mogućnost kompostiranja biootpada:</w:t>
      </w:r>
      <w:r>
        <w:rPr>
          <w:rFonts w:cs="Calibri" w:ascii="Times New Roman" w:hAnsi="Times New Roman"/>
          <w:color w:val="111111"/>
          <w:sz w:val="24"/>
          <w:szCs w:val="24"/>
          <w:shd w:fill="auto" w:val="clear"/>
        </w:rPr>
        <w:t xml:space="preserve"> 73,00 EUR</w:t>
      </w:r>
      <w:r>
        <w:rPr>
          <w:rFonts w:cs="Calibri" w:ascii="Times New Roman" w:hAnsi="Times New Roman"/>
          <w:color w:val="111111"/>
          <w:sz w:val="24"/>
          <w:szCs w:val="24"/>
        </w:rPr>
        <w:t xml:space="preserve">; </w:t>
      </w:r>
    </w:p>
    <w:p>
      <w:pPr>
        <w:pStyle w:val="Normal"/>
        <w:numPr>
          <w:ilvl w:val="0"/>
          <w:numId w:val="0"/>
        </w:numPr>
        <w:spacing w:before="0" w:after="146"/>
        <w:ind w:hanging="0" w:left="708" w:right="0"/>
        <w:rPr>
          <w:rFonts w:ascii="Times New Roman" w:hAnsi="Times New Roman"/>
        </w:rPr>
      </w:pPr>
      <w:r>
        <w:rPr>
          <w:rFonts w:cs="Calibri" w:ascii="Times New Roman" w:hAnsi="Times New Roman"/>
          <w:color w:val="111111"/>
          <w:sz w:val="24"/>
          <w:szCs w:val="24"/>
        </w:rPr>
        <w:t xml:space="preserve">5. kad u spremnik za reciklabilni otpad odlaže otpad druge vrste od one koja se smije odlagati u taj spremnik sukladno dobivenim uputama: 73,00 EUR; </w:t>
      </w:r>
    </w:p>
    <w:p>
      <w:pPr>
        <w:pStyle w:val="Normal"/>
        <w:numPr>
          <w:ilvl w:val="0"/>
          <w:numId w:val="0"/>
        </w:numPr>
        <w:spacing w:before="0" w:after="146"/>
        <w:ind w:hanging="0" w:left="708" w:right="0"/>
        <w:rPr>
          <w:rFonts w:ascii="Times New Roman" w:hAnsi="Times New Roman"/>
        </w:rPr>
      </w:pPr>
      <w:r>
        <w:rPr>
          <w:rFonts w:cs="Calibri" w:ascii="Times New Roman" w:hAnsi="Times New Roman"/>
          <w:color w:val="111111"/>
          <w:sz w:val="24"/>
          <w:szCs w:val="24"/>
        </w:rPr>
        <w:t>6. kad u spremnik za miješani komunalni otpad ili u spremnik za biootpad odlaže opasne tvari, problematični otpad ili otpad koji se može reciklirati, a koji nije prikladan za odlaganje u spremnik za biootpad, odnosno spremnik za miješani komunalni otpad:</w:t>
      </w:r>
      <w:r>
        <w:rPr>
          <w:rFonts w:cs="Calibri" w:ascii="Times New Roman" w:hAnsi="Times New Roman"/>
          <w:color w:val="111111"/>
          <w:sz w:val="24"/>
          <w:szCs w:val="24"/>
          <w:shd w:fill="auto" w:val="clear"/>
        </w:rPr>
        <w:t xml:space="preserve"> 73,00 EUR</w:t>
      </w:r>
      <w:r>
        <w:rPr>
          <w:rFonts w:cs="Calibri" w:ascii="Times New Roman" w:hAnsi="Times New Roman"/>
          <w:color w:val="111111"/>
          <w:sz w:val="24"/>
          <w:szCs w:val="24"/>
        </w:rPr>
        <w:t xml:space="preserve">; </w:t>
      </w:r>
    </w:p>
    <w:p>
      <w:pPr>
        <w:pStyle w:val="Normal"/>
        <w:numPr>
          <w:ilvl w:val="0"/>
          <w:numId w:val="0"/>
        </w:numPr>
        <w:spacing w:before="0" w:after="142"/>
        <w:ind w:hanging="0" w:left="708" w:right="0"/>
        <w:rPr>
          <w:rFonts w:ascii="Times New Roman" w:hAnsi="Times New Roman"/>
        </w:rPr>
      </w:pPr>
      <w:r>
        <w:rPr>
          <w:rFonts w:cs="Calibri" w:ascii="Times New Roman" w:hAnsi="Times New Roman"/>
          <w:color w:val="111111"/>
          <w:sz w:val="24"/>
          <w:szCs w:val="24"/>
        </w:rPr>
        <w:t xml:space="preserve">7. kad ošteti ili uništi spremnik za otpad: 73,00 EUR; </w:t>
      </w:r>
    </w:p>
    <w:p>
      <w:pPr>
        <w:pStyle w:val="Normal"/>
        <w:numPr>
          <w:ilvl w:val="0"/>
          <w:numId w:val="0"/>
        </w:numPr>
        <w:spacing w:before="0" w:after="0"/>
        <w:ind w:hanging="0" w:left="708" w:right="0"/>
        <w:rPr>
          <w:rFonts w:ascii="Times New Roman" w:hAnsi="Times New Roman"/>
        </w:rPr>
      </w:pPr>
      <w:r>
        <w:rPr>
          <w:rFonts w:cs="Calibri" w:ascii="Times New Roman" w:hAnsi="Times New Roman"/>
          <w:color w:val="111111"/>
          <w:sz w:val="24"/>
          <w:szCs w:val="24"/>
        </w:rPr>
        <w:t xml:space="preserve">8. kad odjavi javnu uslugu, a dokazano je da se nekretnina koristi; ili nekretnina se ne koristi, a nije dostavljen dokaz – obračun potrošnje vode ili obračun električne energije odabranog isporučitelja: 73,00 EUR; </w:t>
      </w:r>
    </w:p>
    <w:p>
      <w:pPr>
        <w:pStyle w:val="Normal"/>
        <w:ind w:hanging="0" w:left="0" w:right="0"/>
        <w:rPr>
          <w:rFonts w:ascii="Times New Roman" w:hAnsi="Times New Roman" w:cs="Calibri"/>
          <w:color w:val="111111"/>
          <w:sz w:val="24"/>
          <w:szCs w:val="24"/>
        </w:rPr>
      </w:pPr>
      <w:r>
        <w:rPr>
          <w:rFonts w:cs="Calibri" w:ascii="Times New Roman" w:hAnsi="Times New Roman"/>
          <w:color w:val="111111"/>
          <w:sz w:val="24"/>
          <w:szCs w:val="24"/>
        </w:rPr>
      </w:r>
    </w:p>
    <w:p>
      <w:pPr>
        <w:pStyle w:val="Normal"/>
        <w:numPr>
          <w:ilvl w:val="0"/>
          <w:numId w:val="0"/>
        </w:numPr>
        <w:spacing w:before="0" w:after="142"/>
        <w:ind w:hanging="0" w:left="708" w:right="0"/>
        <w:rPr>
          <w:rFonts w:ascii="Times New Roman" w:hAnsi="Times New Roman"/>
        </w:rPr>
      </w:pPr>
      <w:r>
        <w:rPr>
          <w:rFonts w:cs="Calibri" w:ascii="Times New Roman" w:hAnsi="Times New Roman"/>
          <w:color w:val="111111"/>
          <w:sz w:val="24"/>
          <w:szCs w:val="24"/>
        </w:rPr>
        <w:t xml:space="preserve">9. kad odbacuje otpad nepropisno u okoliš ili na javne površine: 73,00 EUR; </w:t>
      </w:r>
    </w:p>
    <w:p>
      <w:pPr>
        <w:pStyle w:val="Normal"/>
        <w:numPr>
          <w:ilvl w:val="0"/>
          <w:numId w:val="0"/>
        </w:numPr>
        <w:spacing w:before="0" w:after="142"/>
        <w:ind w:hanging="0" w:left="708" w:right="0"/>
        <w:rPr>
          <w:rFonts w:ascii="Times New Roman" w:hAnsi="Times New Roman"/>
        </w:rPr>
      </w:pPr>
      <w:r>
        <w:rPr>
          <w:rFonts w:cs="Calibri" w:ascii="Times New Roman" w:hAnsi="Times New Roman"/>
          <w:color w:val="111111"/>
          <w:sz w:val="24"/>
          <w:szCs w:val="24"/>
        </w:rPr>
        <w:t xml:space="preserve">10. kad spaljuje otpadne materijale u peći ili na otvorenom, osim ako se radi o čistom otpadnom papiru za potpalu, suhom sirovom otpadnom drvu koje nije tretirano nikakvim opasnim tvarima ili drugom osušenom otpadnom biljnom materijalu pogodnom za loženje: 73,00 EUR. </w:t>
      </w:r>
    </w:p>
    <w:p>
      <w:pPr>
        <w:pStyle w:val="Normal"/>
        <w:numPr>
          <w:ilvl w:val="0"/>
          <w:numId w:val="0"/>
        </w:numPr>
        <w:spacing w:before="0" w:after="112"/>
        <w:ind w:hanging="0" w:left="10" w:right="0"/>
        <w:rPr>
          <w:rFonts w:ascii="Times New Roman" w:hAnsi="Times New Roman"/>
        </w:rPr>
      </w:pPr>
      <w:r>
        <w:rPr>
          <w:rFonts w:cs="Calibri" w:ascii="Times New Roman" w:hAnsi="Times New Roman"/>
          <w:color w:val="111111"/>
          <w:sz w:val="24"/>
          <w:szCs w:val="24"/>
        </w:rPr>
        <w:t xml:space="preserve">(2) Kad više korisnika javne usluge koristi zajednički spremnik, nastalu obvezu plaćanja ugovorne kazne, u slučaju kad se ne utvrdi odgovornost pojedinog korisnika javne usluge, snose svi korisnici javne usluge koji koriste zajednički spremnik, sukladno udjelima u korištenju zajedničkog spremnika.  </w:t>
      </w:r>
    </w:p>
    <w:p>
      <w:pPr>
        <w:pStyle w:val="Normal"/>
        <w:numPr>
          <w:ilvl w:val="0"/>
          <w:numId w:val="0"/>
        </w:numPr>
        <w:spacing w:before="0" w:after="112"/>
        <w:ind w:hanging="0" w:left="10" w:right="0"/>
        <w:rPr>
          <w:rFonts w:ascii="Times New Roman" w:hAnsi="Times New Roman"/>
        </w:rPr>
      </w:pPr>
      <w:r>
        <w:rPr>
          <w:rFonts w:cs="Calibri" w:ascii="Times New Roman" w:hAnsi="Times New Roman"/>
          <w:color w:val="111111"/>
          <w:sz w:val="24"/>
          <w:szCs w:val="24"/>
        </w:rPr>
        <w:t>(3) Davatelj javne usluge neće naplatiti ugovornu kaznu već će izdati pisanu opomenu ako procijeni da korisnik javne usluge nije postupio u namjeri počinjenja prekršaja, već je prekršaj počinjen zbog neinformiranosti korisnika, ili u slučaju kad je prekršaj počinjen prvi puta.</w:t>
      </w:r>
    </w:p>
    <w:p>
      <w:pPr>
        <w:pStyle w:val="Normal"/>
        <w:spacing w:before="0" w:after="112"/>
        <w:ind w:hanging="0" w:left="-5" w:right="0"/>
        <w:rPr>
          <w:rFonts w:ascii="Times New Roman" w:hAnsi="Times New Roman" w:cs="Calibri"/>
          <w:color w:val="111111"/>
          <w:sz w:val="24"/>
          <w:szCs w:val="24"/>
        </w:rPr>
      </w:pPr>
      <w:r>
        <w:rPr>
          <w:rFonts w:cs="Calibri" w:ascii="Times New Roman" w:hAnsi="Times New Roman"/>
          <w:color w:val="111111"/>
          <w:sz w:val="24"/>
          <w:szCs w:val="24"/>
        </w:rPr>
      </w:r>
    </w:p>
    <w:p>
      <w:pPr>
        <w:pStyle w:val="Normal"/>
        <w:spacing w:before="0" w:after="112"/>
        <w:ind w:hanging="0" w:left="-5" w:right="0"/>
        <w:rPr>
          <w:rFonts w:ascii="Times New Roman" w:hAnsi="Times New Roman"/>
        </w:rPr>
      </w:pPr>
      <w:r>
        <w:rPr>
          <w:rFonts w:cs="Calibri" w:ascii="Times New Roman" w:hAnsi="Times New Roman"/>
          <w:b/>
          <w:bCs/>
          <w:color w:val="111111"/>
          <w:sz w:val="24"/>
          <w:szCs w:val="24"/>
          <w:u w:val="single"/>
        </w:rPr>
        <w:t xml:space="preserve">Opći uvjeti Ugovora s korisnicima javne usluge </w:t>
      </w:r>
    </w:p>
    <w:p>
      <w:pPr>
        <w:pStyle w:val="Normal"/>
        <w:spacing w:lineRule="auto" w:line="247" w:before="0" w:after="27"/>
        <w:ind w:hanging="10" w:left="10" w:right="4"/>
        <w:jc w:val="center"/>
        <w:rPr>
          <w:rFonts w:ascii="Times New Roman" w:hAnsi="Times New Roman"/>
        </w:rPr>
      </w:pPr>
      <w:r>
        <w:rPr>
          <w:rFonts w:cs="Calibri" w:ascii="Times New Roman" w:hAnsi="Times New Roman"/>
          <w:b/>
          <w:color w:val="111111"/>
          <w:sz w:val="24"/>
          <w:szCs w:val="24"/>
        </w:rPr>
        <w:t xml:space="preserve">Članak 26. </w:t>
      </w:r>
    </w:p>
    <w:p>
      <w:pPr>
        <w:pStyle w:val="Normal"/>
        <w:spacing w:before="0" w:after="474"/>
        <w:ind w:hanging="10" w:left="-5" w:right="0"/>
        <w:rPr>
          <w:rFonts w:ascii="Times New Roman" w:hAnsi="Times New Roman"/>
        </w:rPr>
      </w:pPr>
      <w:r>
        <w:rPr>
          <w:rFonts w:cs="Calibri" w:ascii="Times New Roman" w:hAnsi="Times New Roman"/>
          <w:color w:val="111111"/>
          <w:sz w:val="24"/>
          <w:szCs w:val="24"/>
        </w:rPr>
        <w:t xml:space="preserve">Opći uvjeti Ugovora s korisnicima javne usluge sadržani su u Prilogu 1 ove Odluke i čine njen sastavni dio. </w:t>
      </w:r>
    </w:p>
    <w:p>
      <w:pPr>
        <w:pStyle w:val="Heading2"/>
        <w:ind w:hanging="10" w:left="-5" w:right="0"/>
        <w:rPr>
          <w:rFonts w:ascii="Times New Roman" w:hAnsi="Times New Roman"/>
        </w:rPr>
      </w:pPr>
      <w:r>
        <w:rPr>
          <w:rFonts w:cs="Calibri" w:ascii="Times New Roman" w:hAnsi="Times New Roman"/>
          <w:color w:val="111111"/>
          <w:sz w:val="24"/>
          <w:szCs w:val="24"/>
        </w:rPr>
        <w:t>Prijelazne i završne odredbe</w:t>
      </w:r>
      <w:r>
        <w:rPr>
          <w:rFonts w:cs="Calibri" w:ascii="Times New Roman" w:hAnsi="Times New Roman"/>
          <w:color w:val="111111"/>
          <w:sz w:val="24"/>
          <w:szCs w:val="24"/>
          <w:u w:val="none"/>
        </w:rPr>
        <w:t xml:space="preserve"> </w:t>
      </w:r>
    </w:p>
    <w:p>
      <w:pPr>
        <w:pStyle w:val="Normal"/>
        <w:spacing w:lineRule="auto" w:line="247" w:before="0" w:after="27"/>
        <w:ind w:hanging="10" w:left="10" w:right="4"/>
        <w:jc w:val="center"/>
        <w:rPr>
          <w:rFonts w:ascii="Times New Roman" w:hAnsi="Times New Roman"/>
        </w:rPr>
      </w:pPr>
      <w:r>
        <w:rPr>
          <w:rFonts w:cs="Calibri" w:ascii="Times New Roman" w:hAnsi="Times New Roman"/>
          <w:b/>
          <w:color w:val="111111"/>
          <w:sz w:val="24"/>
          <w:szCs w:val="24"/>
        </w:rPr>
        <w:t xml:space="preserve">Članak 27. </w:t>
      </w:r>
    </w:p>
    <w:p>
      <w:pPr>
        <w:pStyle w:val="Normal"/>
        <w:spacing w:lineRule="auto" w:line="247" w:before="0" w:after="27"/>
        <w:ind w:hanging="10" w:left="10" w:right="4"/>
        <w:jc w:val="both"/>
        <w:rPr>
          <w:rFonts w:ascii="Times New Roman" w:hAnsi="Times New Roman"/>
          <w:sz w:val="24"/>
          <w:szCs w:val="24"/>
        </w:rPr>
      </w:pPr>
      <w:r>
        <w:rPr>
          <w:rFonts w:ascii="Times New Roman" w:hAnsi="Times New Roman"/>
          <w:sz w:val="24"/>
          <w:szCs w:val="24"/>
        </w:rPr>
        <w:t>Nadzor nad provedbom ove Odluke provodi nadležni insprektor te komunalni redar, sukladno odredbama Odluke o komunalnom redu („Službeni glasnik” Općine Marijanci broj 9/19, 5/23) i članku 140. Zakona.</w:t>
      </w:r>
    </w:p>
    <w:p>
      <w:pPr>
        <w:pStyle w:val="Normal"/>
        <w:spacing w:lineRule="auto" w:line="247" w:before="0" w:after="27"/>
        <w:ind w:hanging="10" w:left="10" w:right="4"/>
        <w:jc w:val="both"/>
        <w:rPr>
          <w:rFonts w:ascii="Times New Roman" w:hAnsi="Times New Roman"/>
          <w:sz w:val="24"/>
          <w:szCs w:val="24"/>
        </w:rPr>
      </w:pPr>
      <w:r>
        <w:rPr>
          <w:rFonts w:ascii="Times New Roman" w:hAnsi="Times New Roman"/>
          <w:sz w:val="24"/>
          <w:szCs w:val="24"/>
        </w:rPr>
      </w:r>
    </w:p>
    <w:p>
      <w:pPr>
        <w:pStyle w:val="Normal"/>
        <w:spacing w:lineRule="auto" w:line="247" w:before="0" w:after="27"/>
        <w:ind w:hanging="10" w:left="10" w:right="4"/>
        <w:jc w:val="center"/>
        <w:rPr>
          <w:rFonts w:ascii="Times New Roman" w:hAnsi="Times New Roman"/>
          <w:b/>
          <w:bCs/>
          <w:sz w:val="24"/>
          <w:szCs w:val="24"/>
        </w:rPr>
      </w:pPr>
      <w:r>
        <w:rPr>
          <w:rFonts w:ascii="Times New Roman" w:hAnsi="Times New Roman"/>
          <w:b/>
          <w:bCs/>
          <w:sz w:val="24"/>
          <w:szCs w:val="24"/>
        </w:rPr>
        <w:t>Članak 28.</w:t>
      </w:r>
    </w:p>
    <w:p>
      <w:pPr>
        <w:pStyle w:val="Normal"/>
        <w:spacing w:lineRule="auto" w:line="247" w:before="0" w:after="0"/>
        <w:ind w:hanging="10" w:left="10" w:right="4"/>
        <w:jc w:val="both"/>
        <w:rPr>
          <w:rFonts w:ascii="Times New Roman" w:hAnsi="Times New Roman"/>
          <w:sz w:val="24"/>
          <w:szCs w:val="24"/>
        </w:rPr>
      </w:pPr>
      <w:r>
        <w:rPr>
          <w:rFonts w:ascii="Times New Roman" w:hAnsi="Times New Roman"/>
          <w:sz w:val="24"/>
          <w:szCs w:val="24"/>
        </w:rPr>
        <w:t>(1) Davatelj javne usluge obvezan je ispuniti uvjete za naplatu odvoza miješanog komunalnog otpada predam predanoj količini otpada na čitavom području Općine Marijanci, sukladno članku 5. ove Odluke, u roku od najviše 3 mjeseca od dana stupanja na snagu ove Odluke.</w:t>
      </w:r>
    </w:p>
    <w:p>
      <w:pPr>
        <w:pStyle w:val="Normal"/>
        <w:spacing w:lineRule="auto" w:line="247" w:before="0" w:after="27"/>
        <w:ind w:hanging="10" w:left="10" w:right="4"/>
        <w:jc w:val="both"/>
        <w:rPr>
          <w:rFonts w:ascii="Times New Roman" w:hAnsi="Times New Roman"/>
          <w:sz w:val="24"/>
          <w:szCs w:val="24"/>
        </w:rPr>
      </w:pPr>
      <w:r>
        <w:rPr>
          <w:rFonts w:ascii="Times New Roman" w:hAnsi="Times New Roman"/>
          <w:sz w:val="24"/>
          <w:szCs w:val="24"/>
        </w:rPr>
      </w:r>
    </w:p>
    <w:p>
      <w:pPr>
        <w:pStyle w:val="Normal"/>
        <w:spacing w:lineRule="auto" w:line="247" w:before="0" w:after="27"/>
        <w:ind w:hanging="10" w:left="10" w:right="4"/>
        <w:jc w:val="both"/>
        <w:rPr>
          <w:rFonts w:ascii="Times New Roman" w:hAnsi="Times New Roman"/>
          <w:sz w:val="24"/>
          <w:szCs w:val="24"/>
        </w:rPr>
      </w:pPr>
      <w:r>
        <w:rPr>
          <w:rFonts w:ascii="Times New Roman" w:hAnsi="Times New Roman"/>
          <w:sz w:val="24"/>
          <w:szCs w:val="24"/>
        </w:rPr>
        <w:t>(2) Davatelj javne usluge obvezan je u roku iz stavka 1. ovog članka isporučiti svim korisnicima javne usluge spremnike za odvojeno sakupljanje komunalnog otpada; u slučaju nemogućnosti isporuke spremnika u navedenom roku, davatelj javne usluge će korisnicima isporučiti odgovarajuće vrećice za odvojeno sakupljanje komunalnog otpada.</w:t>
      </w:r>
    </w:p>
    <w:p>
      <w:pPr>
        <w:pStyle w:val="Normal"/>
        <w:spacing w:lineRule="auto" w:line="247" w:before="0" w:after="27"/>
        <w:ind w:hanging="10" w:left="10" w:right="4"/>
        <w:jc w:val="both"/>
        <w:rPr>
          <w:rFonts w:ascii="Times New Roman" w:hAnsi="Times New Roman"/>
          <w:sz w:val="24"/>
          <w:szCs w:val="24"/>
        </w:rPr>
      </w:pPr>
      <w:r>
        <w:rPr>
          <w:rFonts w:ascii="Times New Roman" w:hAnsi="Times New Roman"/>
          <w:sz w:val="24"/>
          <w:szCs w:val="24"/>
        </w:rPr>
      </w:r>
    </w:p>
    <w:p>
      <w:pPr>
        <w:pStyle w:val="Normal"/>
        <w:spacing w:lineRule="auto" w:line="247" w:before="0" w:after="27"/>
        <w:ind w:hanging="10" w:left="10" w:right="4"/>
        <w:jc w:val="center"/>
        <w:rPr>
          <w:rFonts w:ascii="Times New Roman" w:hAnsi="Times New Roman"/>
          <w:b/>
          <w:bCs/>
          <w:sz w:val="24"/>
          <w:szCs w:val="24"/>
        </w:rPr>
      </w:pPr>
      <w:r>
        <w:rPr>
          <w:rFonts w:ascii="Times New Roman" w:hAnsi="Times New Roman"/>
          <w:b/>
          <w:bCs/>
          <w:sz w:val="24"/>
          <w:szCs w:val="24"/>
        </w:rPr>
        <w:t>Članak 29.</w:t>
      </w:r>
    </w:p>
    <w:p>
      <w:pPr>
        <w:pStyle w:val="Normal"/>
        <w:spacing w:before="0" w:after="229"/>
        <w:ind w:hanging="10" w:left="-5" w:right="0"/>
        <w:rPr>
          <w:rFonts w:ascii="Times New Roman" w:hAnsi="Times New Roman"/>
        </w:rPr>
      </w:pPr>
      <w:r>
        <w:rPr>
          <w:rFonts w:cs="Calibri" w:ascii="Times New Roman" w:hAnsi="Times New Roman"/>
          <w:color w:val="111111"/>
          <w:sz w:val="24"/>
          <w:szCs w:val="24"/>
        </w:rPr>
        <w:t xml:space="preserve">Stupanjem na snagu ove Odluke prestaje važiti Odluka o načinu pružanja javne usluge prikupljanja miješanog komunalnog otpada i biorazgradivog komunalnog otpada na području Općine Marijanci („Službeni glasnik”Općine Marijanci </w:t>
      </w:r>
      <w:r>
        <w:rPr>
          <w:rFonts w:cs="Calibri" w:ascii="Times New Roman" w:hAnsi="Times New Roman"/>
          <w:color w:val="111111"/>
          <w:sz w:val="24"/>
          <w:szCs w:val="24"/>
          <w:shd w:fill="auto" w:val="clear"/>
        </w:rPr>
        <w:t>br. 3/22).</w:t>
      </w:r>
    </w:p>
    <w:p>
      <w:pPr>
        <w:pStyle w:val="Normal"/>
        <w:spacing w:lineRule="auto" w:line="247" w:before="0" w:after="27"/>
        <w:ind w:hanging="10" w:left="10" w:right="4"/>
        <w:jc w:val="center"/>
        <w:rPr>
          <w:rFonts w:ascii="Times New Roman" w:hAnsi="Times New Roman"/>
        </w:rPr>
      </w:pPr>
      <w:r>
        <w:rPr>
          <w:rFonts w:ascii="Times New Roman" w:hAnsi="Times New Roman"/>
        </w:rPr>
      </w:r>
    </w:p>
    <w:p>
      <w:pPr>
        <w:pStyle w:val="Normal"/>
        <w:spacing w:lineRule="auto" w:line="247" w:before="0" w:after="27"/>
        <w:ind w:hanging="10" w:left="10" w:right="4"/>
        <w:jc w:val="center"/>
        <w:rPr>
          <w:rFonts w:ascii="Times New Roman" w:hAnsi="Times New Roman"/>
        </w:rPr>
      </w:pPr>
      <w:r>
        <w:rPr>
          <w:rFonts w:ascii="Times New Roman" w:hAnsi="Times New Roman"/>
        </w:rPr>
      </w:r>
    </w:p>
    <w:p>
      <w:pPr>
        <w:pStyle w:val="Normal"/>
        <w:spacing w:lineRule="auto" w:line="247" w:before="0" w:after="27"/>
        <w:ind w:hanging="10" w:left="10" w:right="4"/>
        <w:jc w:val="center"/>
        <w:rPr>
          <w:rFonts w:ascii="Times New Roman" w:hAnsi="Times New Roman"/>
        </w:rPr>
      </w:pPr>
      <w:r>
        <w:rPr>
          <w:rFonts w:ascii="Times New Roman" w:hAnsi="Times New Roman"/>
        </w:rPr>
      </w:r>
    </w:p>
    <w:p>
      <w:pPr>
        <w:pStyle w:val="Normal"/>
        <w:spacing w:lineRule="auto" w:line="247" w:before="0" w:after="27"/>
        <w:ind w:hanging="10" w:left="10" w:right="4"/>
        <w:jc w:val="center"/>
        <w:rPr>
          <w:rFonts w:ascii="Times New Roman" w:hAnsi="Times New Roman"/>
        </w:rPr>
      </w:pPr>
      <w:r>
        <w:rPr>
          <w:rFonts w:cs="Calibri" w:ascii="Times New Roman" w:hAnsi="Times New Roman"/>
          <w:b/>
          <w:color w:val="111111"/>
          <w:sz w:val="24"/>
          <w:szCs w:val="24"/>
        </w:rPr>
        <w:t xml:space="preserve">Članak 24. </w:t>
      </w:r>
    </w:p>
    <w:p>
      <w:pPr>
        <w:pStyle w:val="Normal"/>
        <w:spacing w:before="0" w:after="146"/>
        <w:ind w:hanging="10" w:left="-5" w:right="0"/>
        <w:rPr>
          <w:rFonts w:ascii="Times New Roman" w:hAnsi="Times New Roman"/>
        </w:rPr>
      </w:pPr>
      <w:r>
        <w:rPr>
          <w:rFonts w:cs="Calibri" w:ascii="Times New Roman" w:hAnsi="Times New Roman"/>
          <w:color w:val="111111"/>
          <w:sz w:val="24"/>
          <w:szCs w:val="24"/>
        </w:rPr>
        <w:t>Ova Odluka stupa na snagu osmog dana od dana objave u „Službenom glasniku” Općine Marijanci.</w:t>
      </w:r>
    </w:p>
    <w:p>
      <w:pPr>
        <w:pStyle w:val="Normal"/>
        <w:spacing w:lineRule="auto" w:line="259" w:before="0" w:after="153"/>
        <w:ind w:hanging="0" w:left="0" w:right="0"/>
        <w:jc w:val="left"/>
        <w:rPr>
          <w:rFonts w:ascii="Times New Roman" w:hAnsi="Times New Roman"/>
        </w:rPr>
      </w:pPr>
      <w:r>
        <w:rPr>
          <w:rFonts w:cs="Calibri" w:ascii="Times New Roman" w:hAnsi="Times New Roman"/>
          <w:color w:val="111111"/>
          <w:sz w:val="24"/>
          <w:szCs w:val="24"/>
        </w:rPr>
        <w:t xml:space="preserve"> </w:t>
      </w:r>
    </w:p>
    <w:p>
      <w:pPr>
        <w:pStyle w:val="Normal"/>
        <w:spacing w:before="0" w:after="0"/>
        <w:ind w:hanging="10" w:left="-5" w:right="7397"/>
        <w:rPr>
          <w:rFonts w:ascii="Times New Roman" w:hAnsi="Times New Roman" w:cs="Calibri"/>
          <w:color w:val="111111"/>
        </w:rPr>
      </w:pPr>
      <w:r>
        <w:rPr>
          <w:rFonts w:cs="Calibri" w:ascii="Times New Roman" w:hAnsi="Times New Roman"/>
          <w:color w:val="111111"/>
        </w:rPr>
      </w:r>
    </w:p>
    <w:p>
      <w:pPr>
        <w:pStyle w:val="Normal"/>
        <w:widowControl/>
        <w:suppressAutoHyphens w:val="true"/>
        <w:overflowPunct w:val="false"/>
        <w:bidi w:val="0"/>
        <w:spacing w:lineRule="auto" w:line="247" w:before="0" w:after="0"/>
        <w:ind w:hanging="0" w:left="4819" w:right="0"/>
        <w:jc w:val="center"/>
        <w:rPr>
          <w:rFonts w:ascii="Times New Roman" w:hAnsi="Times New Roman"/>
          <w:b w:val="false"/>
          <w:bCs w:val="false"/>
        </w:rPr>
      </w:pPr>
      <w:r>
        <w:rPr>
          <w:rFonts w:cs="Calibri" w:ascii="Times New Roman" w:hAnsi="Times New Roman"/>
          <w:b w:val="false"/>
          <w:bCs w:val="false"/>
          <w:color w:val="111111"/>
          <w:sz w:val="24"/>
          <w:szCs w:val="24"/>
        </w:rPr>
        <w:t xml:space="preserve">PREDSJEDNIK OPĆINSKOG VIJEĆA </w:t>
      </w:r>
    </w:p>
    <w:p>
      <w:pPr>
        <w:pStyle w:val="Normal"/>
        <w:spacing w:lineRule="auto" w:line="247" w:before="0" w:after="0"/>
        <w:ind w:hanging="10" w:left="5601" w:right="0"/>
        <w:jc w:val="center"/>
        <w:rPr>
          <w:rFonts w:ascii="Times New Roman" w:hAnsi="Times New Roman"/>
        </w:rPr>
      </w:pPr>
      <w:r>
        <w:rPr>
          <w:rFonts w:cs="Calibri" w:ascii="Times New Roman" w:hAnsi="Times New Roman"/>
          <w:b w:val="false"/>
          <w:bCs w:val="false"/>
          <w:color w:val="111111"/>
          <w:sz w:val="24"/>
          <w:szCs w:val="24"/>
        </w:rPr>
        <w:t>IVAN MESAROŠ, mag.oec.</w:t>
      </w:r>
    </w:p>
    <w:p>
      <w:pPr>
        <w:pStyle w:val="Normal"/>
        <w:spacing w:lineRule="auto" w:line="259" w:before="0" w:after="0"/>
        <w:ind w:hanging="0" w:left="0" w:right="0"/>
        <w:jc w:val="left"/>
        <w:rPr>
          <w:rFonts w:ascii="Times New Roman" w:hAnsi="Times New Roman"/>
        </w:rPr>
      </w:pPr>
      <w:r>
        <w:rPr>
          <w:rFonts w:cs="Calibri" w:ascii="Times New Roman" w:hAnsi="Times New Roman"/>
          <w:color w:val="111111"/>
        </w:rPr>
        <w:t xml:space="preserve">  </w:t>
      </w:r>
    </w:p>
    <w:p>
      <w:pPr>
        <w:pStyle w:val="Normal"/>
        <w:spacing w:lineRule="auto" w:line="259" w:before="0" w:after="0"/>
        <w:ind w:hanging="0" w:left="0" w:right="0"/>
        <w:rPr>
          <w:rFonts w:ascii="Times New Roman" w:hAnsi="Times New Roman"/>
        </w:rPr>
      </w:pPr>
      <w:r>
        <w:rPr>
          <w:rFonts w:cs="Calibri" w:ascii="Times New Roman" w:hAnsi="Times New Roman"/>
          <w:color w:val="111111"/>
        </w:rPr>
        <w:t xml:space="preserve"> </w:t>
      </w:r>
      <w:r>
        <w:rPr>
          <w:rFonts w:cs="Calibri" w:ascii="Times New Roman" w:hAnsi="Times New Roman"/>
          <w:color w:val="111111"/>
        </w:rPr>
        <w:tab/>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rFonts w:ascii="Times New Roman" w:hAnsi="Times New Roman"/>
        </w:rPr>
      </w:pPr>
      <w:r>
        <w:rPr>
          <w:rFonts w:ascii="Times New Roman" w:hAnsi="Times New Roman"/>
        </w:rPr>
      </w:r>
    </w:p>
    <w:p>
      <w:pPr>
        <w:pStyle w:val="Normal"/>
        <w:spacing w:lineRule="auto" w:line="259" w:before="0" w:after="0"/>
        <w:ind w:hanging="0" w:left="0" w:right="0"/>
        <w:rPr>
          <w:b/>
          <w:bCs/>
          <w:sz w:val="24"/>
          <w:szCs w:val="24"/>
        </w:rPr>
      </w:pPr>
      <w:r>
        <w:rPr>
          <w:rFonts w:cs="Calibri" w:ascii="Times New Roman" w:hAnsi="Times New Roman"/>
          <w:b/>
          <w:bCs/>
          <w:color w:val="111111"/>
          <w:sz w:val="24"/>
          <w:szCs w:val="24"/>
        </w:rPr>
        <w:t>PRILOG 1</w:t>
      </w:r>
    </w:p>
    <w:p>
      <w:pPr>
        <w:pStyle w:val="Normal"/>
        <w:spacing w:lineRule="auto" w:line="259" w:before="0" w:after="0"/>
        <w:ind w:hanging="0" w:left="0" w:right="0"/>
        <w:rPr>
          <w:b/>
          <w:bCs/>
          <w:sz w:val="24"/>
          <w:szCs w:val="24"/>
        </w:rPr>
      </w:pPr>
      <w:r>
        <w:rPr>
          <w:b/>
          <w:bCs/>
          <w:sz w:val="24"/>
          <w:szCs w:val="24"/>
        </w:rPr>
      </w:r>
    </w:p>
    <w:p>
      <w:pPr>
        <w:pStyle w:val="Normal"/>
        <w:spacing w:lineRule="auto" w:line="259" w:before="0" w:after="0"/>
        <w:ind w:hanging="0" w:left="0" w:right="0"/>
        <w:rPr>
          <w:b/>
          <w:bCs/>
          <w:sz w:val="24"/>
          <w:szCs w:val="24"/>
        </w:rPr>
      </w:pPr>
      <w:r>
        <w:rPr>
          <w:rFonts w:cs="Calibri" w:ascii="Times New Roman" w:hAnsi="Times New Roman"/>
          <w:b/>
          <w:bCs/>
          <w:color w:val="111111"/>
          <w:sz w:val="24"/>
          <w:szCs w:val="24"/>
        </w:rPr>
        <w:t>OPĆI UVJETI UGOVORA O KORIŠTENJU JAVNE USLUGE SAKUPLJANJA KOMUNALNOG OTPADA NA PODRUČJU OPĆINE MARIJANCI</w:t>
      </w:r>
    </w:p>
    <w:p>
      <w:pPr>
        <w:pStyle w:val="Normal"/>
        <w:spacing w:lineRule="auto" w:line="259" w:before="0" w:after="0"/>
        <w:ind w:hanging="0" w:left="0" w:right="0"/>
        <w:rPr>
          <w:b w:val="false"/>
          <w:bCs w:val="false"/>
          <w:sz w:val="24"/>
          <w:szCs w:val="24"/>
        </w:rPr>
      </w:pPr>
      <w:r>
        <w:rPr>
          <w:rFonts w:cs="Calibri" w:ascii="Times New Roman" w:hAnsi="Times New Roman"/>
          <w:b w:val="false"/>
          <w:bCs w:val="false"/>
          <w:color w:val="111111"/>
          <w:sz w:val="24"/>
          <w:szCs w:val="24"/>
        </w:rPr>
        <w:t>(u daljnjem tekstu: Opći uvjeti)</w:t>
      </w:r>
    </w:p>
    <w:p>
      <w:pPr>
        <w:pStyle w:val="Normal"/>
        <w:spacing w:lineRule="auto" w:line="259" w:before="0" w:after="0"/>
        <w:ind w:hanging="0" w:left="0" w:right="0"/>
        <w:rPr>
          <w:rFonts w:ascii="Times New Roman" w:hAnsi="Times New Roman" w:cs="Calibri"/>
          <w:color w:val="111111"/>
        </w:rPr>
      </w:pPr>
      <w:r>
        <w:rPr>
          <w:rFonts w:cs="Calibri" w:ascii="Times New Roman" w:hAnsi="Times New Roman"/>
          <w:color w:val="111111"/>
        </w:rPr>
      </w:r>
    </w:p>
    <w:p>
      <w:pPr>
        <w:pStyle w:val="Normal"/>
        <w:spacing w:lineRule="auto" w:line="259" w:before="0" w:after="0"/>
        <w:ind w:hanging="0" w:left="0" w:right="0"/>
        <w:jc w:val="center"/>
        <w:rPr>
          <w:b/>
          <w:bCs/>
          <w:sz w:val="24"/>
          <w:szCs w:val="24"/>
        </w:rPr>
      </w:pPr>
      <w:r>
        <w:rPr>
          <w:rFonts w:cs="Calibri" w:ascii="Times New Roman" w:hAnsi="Times New Roman"/>
          <w:b/>
          <w:bCs/>
          <w:color w:val="111111"/>
          <w:sz w:val="24"/>
          <w:szCs w:val="24"/>
        </w:rPr>
        <w:t>Članak 1.</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Definicije i pojmovi korišteni u ovim Općim uvjetima odgovaraju definicijama i pojmovima korištenim u Odluci o načinu pružanja javne usluge sakupljanja komunalnog otpada na području Općine Marijanci (u daljnjem tekstu: Odluka).</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Ovim Općim uvjetima uređuju se međusobni odnosi davatelja javne usluge i korisnika javne usluge koji proizlaze iz Ugovora o pružanju javne usluge sakupljanja miješanog komunalnog otpada (u daljnjem tekstu: Ugovor), na području pružanja javne usluge.</w:t>
      </w:r>
    </w:p>
    <w:p>
      <w:pPr>
        <w:pStyle w:val="Normal"/>
        <w:spacing w:lineRule="auto" w:line="259" w:before="0" w:after="0"/>
        <w:ind w:hanging="0" w:left="0" w:right="0"/>
        <w:jc w:val="both"/>
        <w:rPr>
          <w:rFonts w:ascii="Times New Roman" w:hAnsi="Times New Roman" w:cs="Calibri"/>
          <w:color w:val="111111"/>
        </w:rPr>
      </w:pPr>
      <w:r>
        <w:rPr>
          <w:rFonts w:cs="Calibri" w:ascii="Times New Roman" w:hAnsi="Times New Roman"/>
          <w:color w:val="111111"/>
        </w:rPr>
      </w:r>
    </w:p>
    <w:p>
      <w:pPr>
        <w:pStyle w:val="Normal"/>
        <w:spacing w:lineRule="auto" w:line="259" w:before="0" w:after="0"/>
        <w:ind w:hanging="0" w:left="0" w:right="0"/>
        <w:jc w:val="center"/>
        <w:rPr>
          <w:b/>
          <w:bCs/>
          <w:sz w:val="24"/>
          <w:szCs w:val="24"/>
        </w:rPr>
      </w:pPr>
      <w:r>
        <w:rPr>
          <w:rFonts w:cs="Calibri" w:ascii="Times New Roman" w:hAnsi="Times New Roman"/>
          <w:b/>
          <w:bCs/>
          <w:color w:val="111111"/>
          <w:sz w:val="24"/>
          <w:szCs w:val="24"/>
        </w:rPr>
        <w:t>Članak 2.</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Ovi Opći uvjeti primjenjuju se na sve korisnike javne usluge na području pružanja javne usluge koji zaključe Ugovor s davateljem javne usluge.</w:t>
      </w:r>
    </w:p>
    <w:p>
      <w:pPr>
        <w:pStyle w:val="Normal"/>
        <w:spacing w:lineRule="auto" w:line="259" w:before="0" w:after="0"/>
        <w:ind w:hanging="0" w:left="0" w:right="0"/>
        <w:jc w:val="both"/>
        <w:rPr>
          <w:rFonts w:ascii="Times New Roman" w:hAnsi="Times New Roman" w:cs="Calibri"/>
          <w:color w:val="111111"/>
        </w:rPr>
      </w:pPr>
      <w:r>
        <w:rPr>
          <w:rFonts w:cs="Calibri" w:ascii="Times New Roman" w:hAnsi="Times New Roman"/>
          <w:color w:val="111111"/>
        </w:rPr>
      </w:r>
    </w:p>
    <w:p>
      <w:pPr>
        <w:pStyle w:val="Normal"/>
        <w:spacing w:lineRule="auto" w:line="259" w:before="0" w:after="0"/>
        <w:ind w:hanging="0" w:left="0" w:right="0"/>
        <w:jc w:val="center"/>
        <w:rPr>
          <w:b/>
          <w:bCs/>
          <w:sz w:val="24"/>
          <w:szCs w:val="24"/>
        </w:rPr>
      </w:pPr>
      <w:r>
        <w:rPr>
          <w:rFonts w:cs="Calibri" w:ascii="Times New Roman" w:hAnsi="Times New Roman"/>
          <w:b/>
          <w:bCs/>
          <w:color w:val="111111"/>
          <w:sz w:val="24"/>
          <w:szCs w:val="24"/>
        </w:rPr>
        <w:t>Članak 3.</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Obveza korištenja javne usluge za sve vlasnike nekretnina odnosno posebnog dijela nekretnine i korisnike nekretnine, kad je vlasnik nekretnine odnosno posebno dijela nekretnine obvezu plaćanja Ugovorom prenio na korisnika i o tome obavijestio davatelja usluge, nastaje danom stupanja na snagu Odluke.</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Obveza davatelja javne usluge na pružanje javne usluge korisnicima koji nisu kućanstvo ne odnosi se niti obuhvaća pružanje javne usluge odvoza i zbrinjavanja otpada koji je kao proizvodni otpad nastao u proizvodnom procesu korisnika javne usluge, bez obzira što bi po prirodi ili sastavu bio sličan komunalnom otpadu iz kućanstva, kao ni na otpad iz poljoprivrede niti otpad iz šumarstva. Za takvu vrstu otpada korisnik javne usluge koji nije kućanstvo dužan je sklopiti poseban ugovor o odvozu i zbrinjavanju proizvodnog otpada s ovlaštenim prijevoznikom/zbrinjavateljem/oporabiteljem/trgovcem otpada.</w:t>
      </w:r>
    </w:p>
    <w:p>
      <w:pPr>
        <w:pStyle w:val="Normal"/>
        <w:spacing w:lineRule="auto" w:line="259" w:before="0" w:after="0"/>
        <w:ind w:hanging="0" w:left="0" w:right="0"/>
        <w:jc w:val="both"/>
        <w:rPr>
          <w:rFonts w:ascii="Times New Roman" w:hAnsi="Times New Roman" w:cs="Calibri"/>
          <w:color w:val="111111"/>
        </w:rPr>
      </w:pPr>
      <w:r>
        <w:rPr>
          <w:rFonts w:cs="Calibri" w:ascii="Times New Roman" w:hAnsi="Times New Roman"/>
          <w:color w:val="111111"/>
        </w:rPr>
      </w:r>
    </w:p>
    <w:p>
      <w:pPr>
        <w:pStyle w:val="Normal"/>
        <w:spacing w:lineRule="auto" w:line="259" w:before="0" w:after="0"/>
        <w:ind w:hanging="0" w:left="0" w:right="0"/>
        <w:jc w:val="center"/>
        <w:rPr>
          <w:b/>
          <w:bCs/>
          <w:sz w:val="24"/>
          <w:szCs w:val="24"/>
        </w:rPr>
      </w:pPr>
      <w:r>
        <w:rPr>
          <w:rFonts w:cs="Calibri" w:ascii="Times New Roman" w:hAnsi="Times New Roman"/>
          <w:b/>
          <w:bCs/>
          <w:color w:val="111111"/>
          <w:sz w:val="24"/>
          <w:szCs w:val="24"/>
        </w:rPr>
        <w:t>Članak 4.</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Davatelj javne usluge i korisnik javne usluge javnu uslugu ugovaraju u skladu s odredbama Odluke i ovih Općih uvjeta, a prava i obveze davatelja javne usluge i korisnika javne usluge utvrđuju se Ugovorom, Odlukom i ovim Općim uvjetima.</w:t>
      </w:r>
    </w:p>
    <w:p>
      <w:pPr>
        <w:pStyle w:val="Normal"/>
        <w:spacing w:lineRule="auto" w:line="259" w:before="0" w:after="0"/>
        <w:ind w:hanging="0" w:left="0" w:right="0"/>
        <w:jc w:val="both"/>
        <w:rPr>
          <w:rFonts w:ascii="Times New Roman" w:hAnsi="Times New Roman" w:cs="Calibri"/>
          <w:color w:val="111111"/>
        </w:rPr>
      </w:pPr>
      <w:r>
        <w:rPr>
          <w:rFonts w:cs="Calibri" w:ascii="Times New Roman" w:hAnsi="Times New Roman"/>
          <w:color w:val="111111"/>
        </w:rPr>
      </w:r>
    </w:p>
    <w:p>
      <w:pPr>
        <w:pStyle w:val="Normal"/>
        <w:spacing w:lineRule="auto" w:line="259" w:before="0" w:after="0"/>
        <w:ind w:hanging="0" w:left="0" w:right="0"/>
        <w:jc w:val="center"/>
        <w:rPr>
          <w:b/>
          <w:bCs/>
          <w:sz w:val="24"/>
          <w:szCs w:val="24"/>
        </w:rPr>
      </w:pPr>
      <w:r>
        <w:rPr>
          <w:rFonts w:cs="Calibri" w:ascii="Times New Roman" w:hAnsi="Times New Roman"/>
          <w:b/>
          <w:bCs/>
          <w:color w:val="111111"/>
          <w:sz w:val="24"/>
          <w:szCs w:val="24"/>
        </w:rPr>
        <w:t>Članak 5.</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Ugovor se smatra sklopljenim:</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1. kad korisnik javne usluge dostavi davatelju javne usluge Izjavu ili</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2. u slučaju kad korisnik javne usluge ne dostavi davatelju javne usluge Izjavu, prilikom prvog korištenja javne usluge ili zaprimanja na korištenje spremnika za primopredaju miješanog komunalnog otpada. U tom slučaju datum izdavanja računa za izvršenu javnu uslugu smatra se danom sklapanja Ugovora.</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Sklapanjem Ugovora korisnik javne usluge potvrđuje da je upoznat s odredbama ovih Općih uvjeta i prihvaća njihovu primjenu. Davatelj usluge dužan je korisniku javne usluge, na njegov zahtjev, bez naknade uručiti Ugovor i Opće uvjete u tiskanom obliku. Davatelj javne usluge i korisnik javne usluge Ugovor sklapaju na neodređeno vrijeme.</w:t>
      </w:r>
    </w:p>
    <w:p>
      <w:pPr>
        <w:pStyle w:val="Normal"/>
        <w:spacing w:lineRule="auto" w:line="259" w:before="0" w:after="0"/>
        <w:ind w:hanging="0" w:left="0" w:right="0"/>
        <w:jc w:val="both"/>
        <w:rPr>
          <w:rFonts w:ascii="Times New Roman" w:hAnsi="Times New Roman" w:cs="Calibri"/>
          <w:color w:val="111111"/>
        </w:rPr>
      </w:pPr>
      <w:r>
        <w:rPr>
          <w:rFonts w:cs="Calibri" w:ascii="Times New Roman" w:hAnsi="Times New Roman"/>
          <w:color w:val="111111"/>
        </w:rPr>
      </w:r>
    </w:p>
    <w:p>
      <w:pPr>
        <w:pStyle w:val="Normal"/>
        <w:spacing w:lineRule="auto" w:line="259" w:before="0" w:after="0"/>
        <w:ind w:hanging="0" w:left="0" w:right="0"/>
        <w:jc w:val="center"/>
        <w:rPr>
          <w:rFonts w:ascii="Times New Roman" w:hAnsi="Times New Roman" w:cs="Calibri"/>
          <w:color w:val="111111"/>
        </w:rPr>
      </w:pPr>
      <w:r>
        <w:rPr>
          <w:rFonts w:cs="Calibri" w:ascii="Times New Roman" w:hAnsi="Times New Roman"/>
          <w:color w:val="111111"/>
        </w:rPr>
      </w:r>
    </w:p>
    <w:p>
      <w:pPr>
        <w:pStyle w:val="Normal"/>
        <w:spacing w:lineRule="auto" w:line="259" w:before="0" w:after="0"/>
        <w:ind w:hanging="0" w:left="0" w:right="0"/>
        <w:jc w:val="center"/>
        <w:rPr>
          <w:b/>
          <w:bCs/>
          <w:sz w:val="24"/>
          <w:szCs w:val="24"/>
        </w:rPr>
      </w:pPr>
      <w:r>
        <w:rPr>
          <w:rFonts w:cs="Calibri" w:ascii="Times New Roman" w:hAnsi="Times New Roman"/>
          <w:b/>
          <w:bCs/>
          <w:color w:val="111111"/>
          <w:sz w:val="24"/>
          <w:szCs w:val="24"/>
        </w:rPr>
        <w:t>Članak 6.</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Davatelj javne usluge i korisnik javne usluge imaju prava i obveze utvrđene Odlukom, Ugovorom i ovim Općim uvjetima.</w:t>
      </w:r>
    </w:p>
    <w:p>
      <w:pPr>
        <w:pStyle w:val="Normal"/>
        <w:spacing w:lineRule="auto" w:line="259" w:before="0" w:after="0"/>
        <w:ind w:hanging="0" w:left="0" w:right="0"/>
        <w:jc w:val="both"/>
        <w:rPr>
          <w:rFonts w:ascii="Times New Roman" w:hAnsi="Times New Roman" w:cs="Calibri"/>
          <w:color w:val="111111"/>
        </w:rPr>
      </w:pPr>
      <w:r>
        <w:rPr>
          <w:rFonts w:cs="Calibri" w:ascii="Times New Roman" w:hAnsi="Times New Roman"/>
          <w:color w:val="111111"/>
        </w:rPr>
      </w:r>
    </w:p>
    <w:p>
      <w:pPr>
        <w:pStyle w:val="Normal"/>
        <w:spacing w:lineRule="auto" w:line="259" w:before="0" w:after="0"/>
        <w:ind w:hanging="0" w:left="0" w:right="0"/>
        <w:jc w:val="center"/>
        <w:rPr>
          <w:b/>
          <w:bCs/>
          <w:sz w:val="24"/>
          <w:szCs w:val="24"/>
        </w:rPr>
      </w:pPr>
      <w:r>
        <w:rPr>
          <w:rFonts w:cs="Calibri" w:ascii="Times New Roman" w:hAnsi="Times New Roman"/>
          <w:b/>
          <w:bCs/>
          <w:color w:val="111111"/>
          <w:sz w:val="24"/>
          <w:szCs w:val="24"/>
        </w:rPr>
        <w:t>Članak 7.</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Radi otklanjanja svake sumnje, pisani oblik Ugovora nije pretpostavka ni nastanka ugovornog odnosa između davatelja javne usluge i korisnika javne usluge, a niti valjanosti nastalog Ugovora u smislu članka 5. točka 2. ovih Općih uvjeta, posebice u slučajevima kad se usluga od strane davatelja javne usluge izvršava, a korisnik javne usluge odbija potpisati Ugovor odnosno dostaviti Izjavu.</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Korisnik javne usluge dužan je, u slučaju promjena podataka vezanih uz ugovorni odnos koji utječu na odnos davatelja javne usluge i korisnika javne usluge, iste prijaviti davatelju javne usluge u roku od 15 dana od dana kad je nastupila promjena, pisanim putem, elektroničkom ili običnom poštom.</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Korisnik javne usluge dužan je u navedenom roku osobito obavijestiti davatelja javne usluge o prestanku korištenja nekretnine (stana, kuće, kuće za odmor i poslovnog prostora) na obrascu „Zahtjev za raskid Ugovora o obavljanju javne usluge prikupljanja miješanog komunalnog otpada” dostupnom na mrežnoj stranici davatelja javne usluge ili na adresi sjedišta davatelja javne usluge, uz navođenje razloga iz članka 9. ovih Općih uvjeta.</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Davatelj javne usluge dužan je korisniku javne usluge u roku od 8 dana dostaviti pisanu obavijest o tome prihvaća li ili ne prihvaća zahtjev za raskid Ugovora, uz obrazloženje.</w:t>
      </w:r>
    </w:p>
    <w:p>
      <w:pPr>
        <w:pStyle w:val="Normal"/>
        <w:spacing w:lineRule="auto" w:line="259" w:before="0" w:after="0"/>
        <w:ind w:hanging="0" w:left="0" w:right="0"/>
        <w:jc w:val="both"/>
        <w:rPr>
          <w:rFonts w:ascii="Times New Roman" w:hAnsi="Times New Roman" w:cs="Calibri"/>
          <w:color w:val="111111"/>
        </w:rPr>
      </w:pPr>
      <w:r>
        <w:rPr>
          <w:rFonts w:cs="Calibri" w:ascii="Times New Roman" w:hAnsi="Times New Roman"/>
          <w:color w:val="111111"/>
        </w:rPr>
      </w:r>
    </w:p>
    <w:p>
      <w:pPr>
        <w:pStyle w:val="Normal"/>
        <w:spacing w:lineRule="auto" w:line="259" w:before="0" w:after="0"/>
        <w:ind w:hanging="0" w:left="0" w:right="0"/>
        <w:jc w:val="center"/>
        <w:rPr>
          <w:b/>
          <w:bCs/>
          <w:sz w:val="24"/>
          <w:szCs w:val="24"/>
        </w:rPr>
      </w:pPr>
      <w:r>
        <w:rPr>
          <w:rFonts w:cs="Calibri" w:ascii="Times New Roman" w:hAnsi="Times New Roman"/>
          <w:b/>
          <w:bCs/>
          <w:color w:val="111111"/>
          <w:sz w:val="24"/>
          <w:szCs w:val="24"/>
        </w:rPr>
        <w:t>Članak 8.</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Korisnik javne usluge koji stupa na mjesto prijašnjeg korisnika (novi korisnik) dužan je u roku od 15 dana od dana stjecanja vlasništva nekretnine odnosno prijenosa obveze plaćanja na temelju ugovora, pisanim putem obavijestiti davatelja javne usluge o početku korištenja javne usluge, podnošenjem zahtjeva za dostavu obrasca Izjave ili dostavljanjem već popunjenog obrasca Izjave.</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Uz popunjeni obrazac Izjave (novi) korisnikje dužan dostaviti ispravu kojom dokazuje stjecanje vlasništva nekretnine ili prijenosa obveze plaćanja na temelju ugovora (izvadak iz zemljišnih knjiga, ugovor o prijenosu obveze plaćanja javne usluge).</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Promjenu u statusu korisnika javne usluge korisnik je dužan dokazati vjerodostojnim ispravama.</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Svaku promjenu u statusu korisnika javne usluge koju korisnik prijavljuje, davatelj javne usluge prihvaća od datuma prijave, a primjenjuje se od prvog dana sljedećeg obračunskog razdoblja te je isključena mogućnost retroaktivnog učinka prijavljene promjene.</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Prilikom prestanka korištenja javne usluge korisnik javne usluge duža je platiti sve do tada zaprimljene račune i tek tada može biti brisan iz evidencije davatelja javne usluge.</w:t>
      </w:r>
    </w:p>
    <w:p>
      <w:pPr>
        <w:pStyle w:val="Normal"/>
        <w:spacing w:lineRule="auto" w:line="259" w:before="0" w:after="0"/>
        <w:ind w:hanging="0" w:left="0" w:right="0"/>
        <w:jc w:val="both"/>
        <w:rPr>
          <w:rFonts w:ascii="Times New Roman" w:hAnsi="Times New Roman" w:cs="Calibri"/>
          <w:color w:val="111111"/>
        </w:rPr>
      </w:pPr>
      <w:r>
        <w:rPr>
          <w:rFonts w:cs="Calibri" w:ascii="Times New Roman" w:hAnsi="Times New Roman"/>
          <w:color w:val="111111"/>
        </w:rPr>
      </w:r>
    </w:p>
    <w:p>
      <w:pPr>
        <w:pStyle w:val="Normal"/>
        <w:spacing w:lineRule="auto" w:line="259" w:before="0" w:after="0"/>
        <w:ind w:hanging="0" w:left="0" w:right="0"/>
        <w:jc w:val="center"/>
        <w:rPr>
          <w:b/>
          <w:bCs/>
          <w:sz w:val="24"/>
          <w:szCs w:val="24"/>
        </w:rPr>
      </w:pPr>
      <w:r>
        <w:rPr>
          <w:rFonts w:cs="Calibri" w:ascii="Times New Roman" w:hAnsi="Times New Roman"/>
          <w:b/>
          <w:bCs/>
          <w:color w:val="111111"/>
          <w:sz w:val="24"/>
          <w:szCs w:val="24"/>
        </w:rPr>
        <w:t>Članak 9.</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Korisnik javne usluge može zatražiti raskid Ugovora u slučajevima:</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1. prestanka odnosno promjene vlasništva nekretnine te</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2. u slučaju da trajno ne koristi nekretninu. Nekretninom koja se trajno ne koristi smatra se:</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ab/>
        <w:t>(a) nekretnina za koju se utvrdi da u razdoblju od 12 mjeseci nema potrošnje elekrične</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 xml:space="preserve">                 </w:t>
      </w:r>
      <w:r>
        <w:rPr>
          <w:rFonts w:cs="Calibri" w:ascii="Times New Roman" w:hAnsi="Times New Roman"/>
          <w:b w:val="false"/>
          <w:bCs w:val="false"/>
          <w:color w:val="111111"/>
          <w:sz w:val="24"/>
          <w:szCs w:val="24"/>
        </w:rPr>
        <w:t>energije i vode (na temelju očitanja mjernih uređaja)</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ab/>
        <w:t>(b) nekretnina koja nije pogodna za stanovanje</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3. za kategoriju korisnika koji nije kućanstvo u slučaju prestanka obavljanja djelatnosti, uz dostavu rješenja o prestanku obavljanja djelatnosti.</w:t>
      </w:r>
    </w:p>
    <w:p>
      <w:pPr>
        <w:pStyle w:val="Normal"/>
        <w:spacing w:lineRule="auto" w:line="259" w:before="0" w:after="0"/>
        <w:ind w:hanging="0" w:left="0" w:right="0"/>
        <w:jc w:val="both"/>
        <w:rPr>
          <w:rFonts w:ascii="Times New Roman" w:hAnsi="Times New Roman" w:cs="Calibri"/>
          <w:color w:val="111111"/>
        </w:rPr>
      </w:pPr>
      <w:r>
        <w:rPr>
          <w:rFonts w:cs="Calibri" w:ascii="Times New Roman" w:hAnsi="Times New Roman"/>
          <w:color w:val="111111"/>
        </w:rPr>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Zahtjev za raskid Ugovora korisnik javne usluge podnosi davatelju javne usluge u obliku pisanog očitovanja, uz koje prilaže odgovarajuće dokaze kojima potkrepljuje razloge za raskid Ugovora i to prema potrebi: izvadak iz zemljišnih knjiga, ugovor o kupoprodaji, ugovor o darovanju, rješenje o nasljeđivanju; rješenje o prestanku obavljanja djelatnosti; ugovor o najmu/zakupu kad je korisnik javne usluge ugovorom izričito prenio na najmoprimca/zakupoprimca obvezu plaćanja javne usluge davatelju javne usluge; potvrda da se usluga isporuke električne energije, vode ili plina trajno ne koristi ili mjesečno očitanje za navedene usluge za preghodnih 12 (dvanaest) mjeseci.</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O zahtjevu iz stavka 2. ovog članka davatelj usluge dužan je odlučiti u roku od 8 dana od dana podnošenja zahtjeva. Prije odlučivanja o zahtjevu korisnika za raskih Ugovora, ovlašteni zaposlenik davatelja javne usluge provjerit će koristi li se nekretnina ili ne, o čemu sastavlja zapisnik. U slučaju da ovlašteni zaposlenik davatelja javne usluge utvrdi da se nekretnina, suprotno navodima korisnika, koristi, davatelj javne usluge će pisanim putem obavijestiti korisnika javne usluge o odbijanju zahtjeva za raskid Ugovora uz obrazloženje odnosno naznaku razloga zbog kojih je zahtjev korisnika za raskid Ugovora odbijen te će na računu za uslugu korisniku javne usluge obračunati ugovornu kaznu.</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Ugovor prestaje važiti smrću korisnika javne usluge (fizičke osobe, fizičke osobe – vlasnika obrta) i prestankom postojanja pravne osobe brisanjem iz sudskog registra.</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U slučaju prestanka važenja Ugovora zbog smrti korisnika javne usluge fizičke osobe, fizičke osobe – vlasnika obrta i prestanka postojanja pravne osobe brisanjem iz sudskog registra, pravni slijednik koji je u posjedu nekretnine ili posebno dijela nekretnine dužan je o tome obavijestiti davatelja javne usluge najkasnije u roku od 15 dana od dana saznanja o toj okolnosti.</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Davatelj javne usluge može privremeno nastaviti s pružanjem javne usluge posjedniku nekretnine ili posebnog dijela nekretnine do podnošenja Izjave (novog) vlasnika nekretnine, uz uvjet da posjednik nekretnine redovito podmiruje sve novčane obveze koje se tiču obavljanja javne usluge za predmetnu nekretninu.</w:t>
      </w:r>
    </w:p>
    <w:p>
      <w:pPr>
        <w:pStyle w:val="Normal"/>
        <w:spacing w:lineRule="auto" w:line="259" w:before="0" w:after="0"/>
        <w:ind w:hanging="0" w:left="0" w:right="0"/>
        <w:jc w:val="both"/>
        <w:rPr>
          <w:rFonts w:ascii="Times New Roman" w:hAnsi="Times New Roman" w:cs="Calibri"/>
          <w:color w:val="111111"/>
        </w:rPr>
      </w:pPr>
      <w:r>
        <w:rPr>
          <w:rFonts w:cs="Calibri" w:ascii="Times New Roman" w:hAnsi="Times New Roman"/>
          <w:color w:val="111111"/>
        </w:rPr>
      </w:r>
    </w:p>
    <w:p>
      <w:pPr>
        <w:pStyle w:val="Normal"/>
        <w:spacing w:lineRule="auto" w:line="259" w:before="0" w:after="0"/>
        <w:ind w:hanging="0" w:left="0" w:right="0"/>
        <w:jc w:val="center"/>
        <w:rPr>
          <w:b/>
          <w:bCs/>
          <w:sz w:val="24"/>
          <w:szCs w:val="24"/>
        </w:rPr>
      </w:pPr>
      <w:r>
        <w:rPr>
          <w:rFonts w:cs="Calibri" w:ascii="Times New Roman" w:hAnsi="Times New Roman"/>
          <w:b/>
          <w:bCs/>
          <w:color w:val="111111"/>
          <w:sz w:val="24"/>
          <w:szCs w:val="24"/>
        </w:rPr>
        <w:t>Članak 10.</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Cijena javne usluge utvrđuje se Cjenikom javne usluge koji donosi i mijenja davatelj javne usluge u skladu s odredbama Odluke i Zakona. Cijenu javne usluge utvrđuje predstavničko dijelu Općine Marijanci Odlukom.</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Korisnik javne usluge dužan je plaćati davatelju javne usluge cijenu javne usluge utvrđenu Cjenikom davatelja javne usluge. Cijenu javne usluge korisnici javne usluge plaćaju na temelju računa koji im  davatelj javne usluge ispostavlja jednom mjesečno.</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Račun se izdaje posljednjeg radnog dana u mjesecu za tekući mjesec, a dostavlja se korisniku javne usluge najkasnije do sedmog dana sljedećeg mjeseca.</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Korisnik je dužan podmiriti račun u roku dospijeća.</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U slučaju zakašnjenja zaračunavaju se zakonske zatezne kamate u skladu s propisima.</w:t>
      </w:r>
    </w:p>
    <w:p>
      <w:pPr>
        <w:pStyle w:val="Normal"/>
        <w:spacing w:lineRule="auto" w:line="259" w:before="0" w:after="0"/>
        <w:ind w:hanging="0" w:left="0" w:right="0"/>
        <w:jc w:val="both"/>
        <w:rPr>
          <w:rFonts w:ascii="Times New Roman" w:hAnsi="Times New Roman" w:cs="Calibri"/>
          <w:color w:val="111111"/>
        </w:rPr>
      </w:pPr>
      <w:r>
        <w:rPr>
          <w:rFonts w:cs="Calibri" w:ascii="Times New Roman" w:hAnsi="Times New Roman"/>
          <w:color w:val="111111"/>
        </w:rPr>
      </w:r>
    </w:p>
    <w:p>
      <w:pPr>
        <w:pStyle w:val="Normal"/>
        <w:spacing w:lineRule="auto" w:line="259" w:before="0" w:after="0"/>
        <w:ind w:hanging="0" w:left="0" w:right="0"/>
        <w:jc w:val="center"/>
        <w:rPr>
          <w:b/>
          <w:bCs/>
          <w:sz w:val="24"/>
          <w:szCs w:val="24"/>
        </w:rPr>
      </w:pPr>
      <w:r>
        <w:rPr>
          <w:rFonts w:cs="Calibri" w:ascii="Times New Roman" w:hAnsi="Times New Roman"/>
          <w:b/>
          <w:bCs/>
          <w:color w:val="111111"/>
          <w:sz w:val="24"/>
          <w:szCs w:val="24"/>
        </w:rPr>
        <w:t>Članak 11.</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Korisnik ima pravo prigovora na ispotavljeni račun.</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Prigovor se podnosi u pisanom obliku u roku od 15 dana od dana primitka računa.</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Davatelj javne usluge dužan je ispitati osnovanost prigovora i dati pisani odgovor na prigovor u roku od 15 dana od dana primitka prigovora.</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Prigovor korisnika ne odgađa obvezu plaćanja računa.</w:t>
      </w:r>
    </w:p>
    <w:p>
      <w:pPr>
        <w:pStyle w:val="Normal"/>
        <w:spacing w:lineRule="auto" w:line="259" w:before="0" w:after="0"/>
        <w:ind w:hanging="0" w:left="0" w:right="0"/>
        <w:jc w:val="both"/>
        <w:rPr>
          <w:b w:val="false"/>
          <w:bCs w:val="false"/>
          <w:sz w:val="24"/>
          <w:szCs w:val="24"/>
        </w:rPr>
      </w:pPr>
      <w:r>
        <w:rPr>
          <w:rFonts w:cs="Calibri" w:ascii="Times New Roman" w:hAnsi="Times New Roman"/>
          <w:b w:val="false"/>
          <w:bCs w:val="false"/>
          <w:color w:val="111111"/>
          <w:sz w:val="24"/>
          <w:szCs w:val="24"/>
        </w:rPr>
        <w:t>U slučaju kad davatelj javne usluge prihvati prigovor korisnika umanjit će za priznati iznos račun za javnu uslugu koji slijedi nakon donošenja odluke o prihvaćanju prigovora.</w:t>
      </w:r>
    </w:p>
    <w:p>
      <w:pPr>
        <w:pStyle w:val="Normal"/>
        <w:spacing w:lineRule="auto" w:line="259" w:before="0" w:after="0"/>
        <w:ind w:hanging="0" w:left="0" w:right="0"/>
        <w:jc w:val="both"/>
        <w:rPr>
          <w:b w:val="false"/>
          <w:bCs w:val="false"/>
          <w:sz w:val="24"/>
          <w:szCs w:val="24"/>
        </w:rPr>
      </w:pPr>
      <w:r>
        <w:rPr/>
      </w:r>
    </w:p>
    <w:p>
      <w:pPr>
        <w:pStyle w:val="Normal"/>
        <w:spacing w:lineRule="auto" w:line="259" w:before="0" w:after="0"/>
        <w:ind w:hanging="0" w:left="0" w:right="0"/>
        <w:jc w:val="center"/>
        <w:rPr>
          <w:rFonts w:ascii="Times New Roman" w:hAnsi="Times New Roman"/>
          <w:b/>
          <w:bCs/>
          <w:sz w:val="24"/>
          <w:szCs w:val="24"/>
        </w:rPr>
      </w:pPr>
      <w:r>
        <w:rPr>
          <w:rFonts w:ascii="Times New Roman" w:hAnsi="Times New Roman"/>
          <w:b/>
          <w:bCs/>
          <w:sz w:val="24"/>
          <w:szCs w:val="24"/>
        </w:rPr>
        <w:t>Članak 12.</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t>Spremnike za odlaganje otpada korisnik javne usluge u pravilu smješta na svojoj nekretnini. Iznimno, davatelj javne usluge može korisniku javne usluge, ukoliko nema prostor za držanje spremnika na svojoj nekretnini, odobriti držanje spremnika na javnoj površini sukladno Odluci. O zahtjevu korisnika javne usluge za držanje spremnika za komunalni otpad na javnoj površini odlučuje rješenjem nadležno tijelo Općine Marijanci, uz prethodni dogovor s davateljem javne usluge.</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r>
    </w:p>
    <w:p>
      <w:pPr>
        <w:pStyle w:val="Normal"/>
        <w:spacing w:lineRule="auto" w:line="259" w:before="0" w:after="0"/>
        <w:ind w:hanging="0" w:left="0" w:right="0"/>
        <w:jc w:val="center"/>
        <w:rPr>
          <w:rFonts w:ascii="Times New Roman" w:hAnsi="Times New Roman"/>
          <w:b/>
          <w:bCs/>
          <w:sz w:val="24"/>
          <w:szCs w:val="24"/>
        </w:rPr>
      </w:pPr>
      <w:r>
        <w:rPr>
          <w:rFonts w:ascii="Times New Roman" w:hAnsi="Times New Roman"/>
          <w:b/>
          <w:bCs/>
          <w:sz w:val="24"/>
          <w:szCs w:val="24"/>
        </w:rPr>
        <w:t>Članak 13.</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t xml:space="preserve">Spremnici za otpad u dane odvoza otpada moraju biti izneseni </w:t>
      </w:r>
      <w:r>
        <w:rPr>
          <w:rFonts w:ascii="Times New Roman" w:hAnsi="Times New Roman"/>
          <w:b w:val="false"/>
          <w:bCs w:val="false"/>
          <w:sz w:val="24"/>
          <w:szCs w:val="24"/>
        </w:rPr>
        <w:t>na javnu površinu do vremena prolaska vozila davatelja javne usluge, u suprotnom se usluga neće izvršiti niti će se naplatiti cijena odvoza za (ne)predanu količinu otpada.</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t>Spremnici za otpad u dane odvoza otpada moraju biti izneseni na javnu površinu na način da vozila i radnici davatelja javne usluge imaju nesmetan pristup spremnicima i da omogućavaju normalan promet pješaka i vozila.</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t>Spremnike iz spremišta za otpad stambenih zgrada na javnu površinu moraju se iznijeti u vrijeme pražnjenja spremnika te nakon pražnjenja vratiti na njihovo prvobitno mjesto. Iznose se i prazne samo spremnici u kojima se nalazi otpad.</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t xml:space="preserve">Davatelj javne usluge dužan je rukovati spremnicima za otpad na način da iste ne oštećuje, a odloženi otpad ne rasipava i ne onečišćuje okoliš. Svako onečišćenje i oštećenje uzrokovano prikupljanjem i odvozom otpada davatelj javne usluge je dužan </w:t>
      </w:r>
      <w:r>
        <w:rPr>
          <w:rFonts w:ascii="Times New Roman" w:hAnsi="Times New Roman"/>
          <w:b w:val="false"/>
          <w:bCs w:val="false"/>
          <w:sz w:val="24"/>
          <w:szCs w:val="24"/>
        </w:rPr>
        <w:t>odmah otkloniti.</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t>Davatelj javne usluge je dužan spremnike za otpad nakon pražnjenja vratiti na mjesto s kojih ih je preuzeo i zatvoriti poklopac.</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r>
    </w:p>
    <w:p>
      <w:pPr>
        <w:pStyle w:val="Normal"/>
        <w:spacing w:lineRule="auto" w:line="259" w:before="0" w:after="0"/>
        <w:ind w:hanging="0" w:left="0" w:right="0"/>
        <w:jc w:val="center"/>
        <w:rPr>
          <w:rFonts w:ascii="Times New Roman" w:hAnsi="Times New Roman"/>
          <w:b/>
          <w:bCs/>
          <w:sz w:val="24"/>
          <w:szCs w:val="24"/>
        </w:rPr>
      </w:pPr>
      <w:r>
        <w:rPr>
          <w:rFonts w:ascii="Times New Roman" w:hAnsi="Times New Roman"/>
          <w:b/>
          <w:bCs/>
          <w:sz w:val="24"/>
          <w:szCs w:val="24"/>
        </w:rPr>
        <w:t>Članak 14.</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t>Korisnik javne usluge dužan je spremnik za odlaganje otpada održavati u ispravnom, čistom i funkcionalnom stanju.</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t>Davatelj javne usluge može osigurati pranje spremnika za otpad, za korisnike u kategoriji kućanstva, potkategorija b. stamene zgrade.</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t>Korisnik je odgovoran za svako namjerno oštećenje i nestanak spremnika koje mu je davatelj javne usluge dodijelio na korištenje bez naknade. U slučaju otuđenja i oštećenja spremnika za otpad, trošak nabave novih snosit će korisnik javne usluge putem ugovorne kazne.</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t>U slučaju kad je to očito ili kad korisnik dokaže da je oštećenje spremnika za otpad uzrokovao davatelj javne usluge, trošak nabave nove posude snosit će davatelj javne usluge, o čemu se sastavlja zapisnik.</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r>
    </w:p>
    <w:p>
      <w:pPr>
        <w:pStyle w:val="Normal"/>
        <w:spacing w:lineRule="auto" w:line="259" w:before="0" w:after="0"/>
        <w:ind w:hanging="0" w:left="0" w:right="0"/>
        <w:jc w:val="center"/>
        <w:rPr>
          <w:rFonts w:ascii="Times New Roman" w:hAnsi="Times New Roman"/>
          <w:b/>
          <w:bCs/>
          <w:sz w:val="24"/>
          <w:szCs w:val="24"/>
        </w:rPr>
      </w:pPr>
      <w:r>
        <w:rPr>
          <w:rFonts w:ascii="Times New Roman" w:hAnsi="Times New Roman"/>
          <w:b/>
          <w:bCs/>
          <w:sz w:val="24"/>
          <w:szCs w:val="24"/>
        </w:rPr>
        <w:t>Članak 15.</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t>Svi dogovori i pravno relevantne izjave ugovornih strana valjane su jedino ukoliko su učinjene u pisanom obliku.</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t>U slučaju nesuglasja ili kontradiktornosti između Ugovora i ovih Općih uvjeta, vrijedit će odredbe Ugovora.</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t>Ukoliko bilo koja odredba Ugovora i/ili Općih uvjeta jest ili postane ništavna, nevaljana ili neprovediva, to neće utjecati na ostatak Ugovora odnosno Općih uvjeta te će se ostatak Ugovora odnosno Općih uvjeta primjenjivati u najvećem mogućem opsegu dozvoljenim zakonom. U tom slučaju, ugovorne strane će bez odgode utvrditi odgovarajuću odredbu koja će zamijeniti ništavnu, nevaljanu ili neprovedivu odredbu na način da u što većoj mjeri odgovara prvotnoj namjeri ugovornih strana.</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t>Neizvršavanje bilo kojeg prava danog ugovornoj strani na temelju Ugovora i/ili ovih Općih uvjeta neće se smatrati odricanjem ugovorne strane od tog prava. Bilo kakvo odricanje prava danog ugovornoj strani na temelju Ugovora i/ili ovih Općih uvjeta mora biti dano izričito i u pisanom obliku.</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t>Raskid ili prestanak Ugovora ne utječe na njegove odredbe za koje je izričito ili isključivo određeno da stupaju na snagu ili se nastavljaju primjenjivati i nakon raskida ili prestanka Ugovora.</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t>Eventualne sporove koji nastanu u izvršavanju prava i obveza iz Ugovora davatelj javne usluge i korisnik javne usluge pokušat će riješiti sporazumno.</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t>Na Ugovor i ove Opće uvjete primjenjuju se pozitivni propisi Republike Hrvatske te će se u skladu s time isti dokumenti i tumačiti.</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r>
    </w:p>
    <w:p>
      <w:pPr>
        <w:pStyle w:val="Normal"/>
        <w:spacing w:lineRule="auto" w:line="259" w:before="0" w:after="0"/>
        <w:ind w:hanging="0" w:left="0" w:right="0"/>
        <w:jc w:val="center"/>
        <w:rPr>
          <w:rFonts w:ascii="Times New Roman" w:hAnsi="Times New Roman"/>
          <w:b/>
          <w:bCs/>
          <w:sz w:val="24"/>
          <w:szCs w:val="24"/>
        </w:rPr>
      </w:pPr>
      <w:r>
        <w:rPr>
          <w:rFonts w:ascii="Times New Roman" w:hAnsi="Times New Roman"/>
          <w:b/>
          <w:bCs/>
          <w:sz w:val="24"/>
          <w:szCs w:val="24"/>
        </w:rPr>
        <w:t>Članak 16.</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t>Ovi Opći uvjeti mijenjanju se na način koji je određen za njihovo donošenje.</w:t>
      </w:r>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r>
    </w:p>
    <w:p>
      <w:pPr>
        <w:pStyle w:val="Normal"/>
        <w:spacing w:lineRule="auto" w:line="259" w:before="0" w:after="0"/>
        <w:ind w:hanging="0" w:left="0" w:right="0"/>
        <w:jc w:val="center"/>
        <w:rPr>
          <w:rFonts w:ascii="Times New Roman" w:hAnsi="Times New Roman"/>
          <w:b/>
          <w:bCs/>
          <w:sz w:val="24"/>
          <w:szCs w:val="24"/>
        </w:rPr>
      </w:pPr>
      <w:r>
        <w:rPr>
          <w:rFonts w:ascii="Times New Roman" w:hAnsi="Times New Roman"/>
          <w:b/>
          <w:bCs/>
          <w:sz w:val="24"/>
          <w:szCs w:val="24"/>
        </w:rPr>
        <w:t>Članak 17.</w:t>
      </w:r>
    </w:p>
    <w:p>
      <w:pPr>
        <w:pStyle w:val="Normal"/>
        <w:spacing w:lineRule="auto" w:line="259" w:before="0" w:after="0"/>
        <w:ind w:hanging="0" w:left="0" w:right="0"/>
        <w:jc w:val="both"/>
        <w:rPr/>
      </w:pPr>
      <w:r>
        <w:rPr>
          <w:rFonts w:ascii="Times New Roman" w:hAnsi="Times New Roman"/>
          <w:b w:val="false"/>
          <w:bCs w:val="false"/>
          <w:sz w:val="24"/>
          <w:szCs w:val="24"/>
        </w:rPr>
        <w:t>Ovi Opći uvjeti obj</w:t>
      </w:r>
      <w:r>
        <w:rPr>
          <w:rFonts w:ascii="Times New Roman" w:hAnsi="Times New Roman"/>
          <w:b w:val="false"/>
          <w:bCs w:val="false"/>
          <w:sz w:val="24"/>
          <w:szCs w:val="24"/>
        </w:rPr>
        <w:t xml:space="preserve">avit će se u „Službenom glasniku” Općine Marijanci te na mrežnim stranicama davatelja usluge: Doroslov d.o.o. Donji Miholjac na adresi: </w:t>
      </w:r>
      <w:hyperlink r:id="rId4">
        <w:r>
          <w:rPr>
            <w:rStyle w:val="Hyperlink"/>
            <w:rFonts w:ascii="Times New Roman" w:hAnsi="Times New Roman"/>
            <w:b w:val="false"/>
            <w:bCs w:val="false"/>
            <w:sz w:val="24"/>
            <w:szCs w:val="24"/>
          </w:rPr>
          <w:t>www.doroslov.hr</w:t>
        </w:r>
      </w:hyperlink>
    </w:p>
    <w:p>
      <w:pPr>
        <w:pStyle w:val="Normal"/>
        <w:spacing w:lineRule="auto" w:line="259" w:before="0" w:after="0"/>
        <w:ind w:hanging="0" w:left="0" w:right="0"/>
        <w:jc w:val="both"/>
        <w:rPr>
          <w:rFonts w:ascii="Times New Roman" w:hAnsi="Times New Roman"/>
          <w:b w:val="false"/>
          <w:bCs w:val="false"/>
          <w:sz w:val="24"/>
          <w:szCs w:val="24"/>
        </w:rPr>
      </w:pPr>
      <w:r>
        <w:rPr>
          <w:rFonts w:ascii="Times New Roman" w:hAnsi="Times New Roman"/>
          <w:b w:val="false"/>
          <w:bCs w:val="false"/>
          <w:sz w:val="24"/>
          <w:szCs w:val="24"/>
        </w:rPr>
      </w:r>
    </w:p>
    <w:p>
      <w:pPr>
        <w:pStyle w:val="Normal"/>
        <w:spacing w:lineRule="auto" w:line="259" w:before="0" w:after="0"/>
        <w:ind w:hanging="0" w:left="0" w:right="0"/>
        <w:jc w:val="center"/>
        <w:rPr>
          <w:rFonts w:ascii="Times New Roman" w:hAnsi="Times New Roman"/>
          <w:b w:val="false"/>
          <w:bCs w:val="false"/>
          <w:sz w:val="24"/>
          <w:szCs w:val="24"/>
        </w:rPr>
      </w:pPr>
      <w:r>
        <w:rPr>
          <w:rFonts w:ascii="Times New Roman" w:hAnsi="Times New Roman"/>
          <w:b w:val="false"/>
          <w:bCs w:val="false"/>
          <w:sz w:val="24"/>
          <w:szCs w:val="24"/>
        </w:rPr>
      </w:r>
    </w:p>
    <w:sectPr>
      <w:type w:val="nextPage"/>
      <w:pgSz w:w="11906" w:h="16838"/>
      <w:pgMar w:left="1419" w:right="1274" w:gutter="0" w:header="0" w:top="710" w:footer="0" w:bottom="1426"/>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Times New Roman">
    <w:charset w:val="01"/>
    <w:family w:val="roman"/>
    <w:pitch w:val="variable"/>
  </w:font>
  <w:font w:name="Arial">
    <w:charset w:val="01"/>
    <w:family w:val="swiss"/>
    <w:pitch w:val="variable"/>
  </w:font>
  <w:font w:name="Segoe UI Symbol">
    <w:charset w:val="01"/>
    <w:family w:val="swiss"/>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95" w:hanging="0"/>
      </w:pPr>
      <w:rPr>
        <w:dstrike w:val="false"/>
        <w:strike w:val="false"/>
        <w:vertAlign w:val="baseline"/>
        <w:position w:val="0"/>
        <w:sz w:val="22"/>
        <w:sz w:val="22"/>
        <w:i w:val="false"/>
        <w:u w:val="none"/>
        <w:b w:val="false"/>
        <w:szCs w:val="22"/>
        <w:rFonts w:eastAsia="Calibri" w:cs="Calibri"/>
        <w:color w:val="000000"/>
      </w:rPr>
    </w:lvl>
    <w:lvl w:ilvl="1">
      <w:start w:val="1"/>
      <w:numFmt w:val="decimal"/>
      <w:lvlText w:val="%1.%2."/>
      <w:lvlJc w:val="left"/>
      <w:pPr>
        <w:tabs>
          <w:tab w:val="num" w:pos="0"/>
        </w:tabs>
        <w:ind w:left="720" w:hanging="0"/>
      </w:pPr>
      <w:rPr>
        <w:dstrike w:val="false"/>
        <w:strike w:val="false"/>
        <w:vertAlign w:val="baseline"/>
        <w:position w:val="0"/>
        <w:sz w:val="22"/>
        <w:sz w:val="22"/>
        <w:i w:val="false"/>
        <w:u w:val="none"/>
        <w:b w:val="false"/>
        <w:szCs w:val="22"/>
        <w:rFonts w:eastAsia="Calibri" w:cs="Calibri"/>
        <w:color w:val="000000"/>
      </w:rPr>
    </w:lvl>
    <w:lvl w:ilvl="2">
      <w:start w:val="1"/>
      <w:numFmt w:val="lowerRoman"/>
      <w:lvlText w:val="%2.%3"/>
      <w:lvlJc w:val="left"/>
      <w:pPr>
        <w:tabs>
          <w:tab w:val="num" w:pos="0"/>
        </w:tabs>
        <w:ind w:left="1440" w:hanging="0"/>
      </w:pPr>
      <w:rPr>
        <w:dstrike w:val="false"/>
        <w:strike w:val="false"/>
        <w:vertAlign w:val="baseline"/>
        <w:position w:val="0"/>
        <w:sz w:val="22"/>
        <w:sz w:val="22"/>
        <w:i w:val="false"/>
        <w:u w:val="none"/>
        <w:b w:val="false"/>
        <w:szCs w:val="22"/>
        <w:rFonts w:eastAsia="Calibri" w:cs="Calibri"/>
        <w:color w:val="000000"/>
      </w:rPr>
    </w:lvl>
    <w:lvl w:ilvl="3">
      <w:start w:val="1"/>
      <w:numFmt w:val="decimal"/>
      <w:lvlText w:val="%3.%4"/>
      <w:lvlJc w:val="left"/>
      <w:pPr>
        <w:tabs>
          <w:tab w:val="num" w:pos="0"/>
        </w:tabs>
        <w:ind w:left="2160" w:hanging="0"/>
      </w:pPr>
      <w:rPr>
        <w:dstrike w:val="false"/>
        <w:strike w:val="false"/>
        <w:vertAlign w:val="baseline"/>
        <w:position w:val="0"/>
        <w:sz w:val="22"/>
        <w:sz w:val="22"/>
        <w:i w:val="false"/>
        <w:u w:val="none"/>
        <w:b w:val="false"/>
        <w:szCs w:val="22"/>
        <w:rFonts w:eastAsia="Calibri" w:cs="Calibri"/>
        <w:color w:val="000000"/>
      </w:rPr>
    </w:lvl>
    <w:lvl w:ilvl="4">
      <w:start w:val="1"/>
      <w:numFmt w:val="lowerLetter"/>
      <w:lvlText w:val="%4.%5"/>
      <w:lvlJc w:val="left"/>
      <w:pPr>
        <w:tabs>
          <w:tab w:val="num" w:pos="0"/>
        </w:tabs>
        <w:ind w:left="2880" w:hanging="0"/>
      </w:pPr>
      <w:rPr>
        <w:dstrike w:val="false"/>
        <w:strike w:val="false"/>
        <w:vertAlign w:val="baseline"/>
        <w:position w:val="0"/>
        <w:sz w:val="22"/>
        <w:sz w:val="22"/>
        <w:i w:val="false"/>
        <w:u w:val="none"/>
        <w:b w:val="false"/>
        <w:szCs w:val="22"/>
        <w:rFonts w:eastAsia="Calibri" w:cs="Calibri"/>
        <w:color w:val="000000"/>
      </w:rPr>
    </w:lvl>
    <w:lvl w:ilvl="5">
      <w:start w:val="1"/>
      <w:numFmt w:val="lowerRoman"/>
      <w:lvlText w:val="%5.%6"/>
      <w:lvlJc w:val="left"/>
      <w:pPr>
        <w:tabs>
          <w:tab w:val="num" w:pos="0"/>
        </w:tabs>
        <w:ind w:left="3600" w:hanging="0"/>
      </w:pPr>
      <w:rPr>
        <w:dstrike w:val="false"/>
        <w:strike w:val="false"/>
        <w:vertAlign w:val="baseline"/>
        <w:position w:val="0"/>
        <w:sz w:val="22"/>
        <w:sz w:val="22"/>
        <w:i w:val="false"/>
        <w:u w:val="none"/>
        <w:b w:val="false"/>
        <w:szCs w:val="22"/>
        <w:rFonts w:eastAsia="Calibri" w:cs="Calibri"/>
        <w:color w:val="000000"/>
      </w:rPr>
    </w:lvl>
    <w:lvl w:ilvl="6">
      <w:start w:val="1"/>
      <w:numFmt w:val="decimal"/>
      <w:lvlText w:val="%6.%7"/>
      <w:lvlJc w:val="left"/>
      <w:pPr>
        <w:tabs>
          <w:tab w:val="num" w:pos="0"/>
        </w:tabs>
        <w:ind w:left="4320" w:hanging="0"/>
      </w:pPr>
      <w:rPr>
        <w:dstrike w:val="false"/>
        <w:strike w:val="false"/>
        <w:vertAlign w:val="baseline"/>
        <w:position w:val="0"/>
        <w:sz w:val="22"/>
        <w:sz w:val="22"/>
        <w:i w:val="false"/>
        <w:u w:val="none"/>
        <w:b w:val="false"/>
        <w:szCs w:val="22"/>
        <w:rFonts w:eastAsia="Calibri" w:cs="Calibri"/>
        <w:color w:val="000000"/>
      </w:rPr>
    </w:lvl>
    <w:lvl w:ilvl="7">
      <w:start w:val="1"/>
      <w:numFmt w:val="lowerLetter"/>
      <w:lvlText w:val="%7.%8"/>
      <w:lvlJc w:val="left"/>
      <w:pPr>
        <w:tabs>
          <w:tab w:val="num" w:pos="0"/>
        </w:tabs>
        <w:ind w:left="5040" w:hanging="0"/>
      </w:pPr>
      <w:rPr>
        <w:dstrike w:val="false"/>
        <w:strike w:val="false"/>
        <w:vertAlign w:val="baseline"/>
        <w:position w:val="0"/>
        <w:sz w:val="22"/>
        <w:sz w:val="22"/>
        <w:i w:val="false"/>
        <w:u w:val="none"/>
        <w:b w:val="false"/>
        <w:szCs w:val="22"/>
        <w:rFonts w:eastAsia="Calibri" w:cs="Calibri"/>
        <w:color w:val="000000"/>
      </w:rPr>
    </w:lvl>
    <w:lvl w:ilvl="8">
      <w:start w:val="1"/>
      <w:numFmt w:val="lowerRoman"/>
      <w:lvlText w:val="%8.%9"/>
      <w:lvlJc w:val="left"/>
      <w:pPr>
        <w:tabs>
          <w:tab w:val="num" w:pos="0"/>
        </w:tabs>
        <w:ind w:left="5760" w:hanging="0"/>
      </w:pPr>
      <w:rPr>
        <w:dstrike w:val="false"/>
        <w:strike w:val="false"/>
        <w:vertAlign w:val="baseline"/>
        <w:position w:val="0"/>
        <w:sz w:val="22"/>
        <w:sz w:val="22"/>
        <w:i w:val="false"/>
        <w:u w:val="none"/>
        <w:b w:val="false"/>
        <w:szCs w:val="22"/>
        <w:rFonts w:eastAsia="Calibri" w:cs="Calibri"/>
        <w:color w:val="000000"/>
      </w:rPr>
    </w:lvl>
  </w:abstractNum>
  <w:abstractNum w:abstractNumId="2">
    <w:lvl w:ilvl="0">
      <w:start w:val="1"/>
      <w:numFmt w:val="decimal"/>
      <w:lvlText w:val="(%1)"/>
      <w:lvlJc w:val="left"/>
      <w:pPr>
        <w:tabs>
          <w:tab w:val="num" w:pos="0"/>
        </w:tabs>
        <w:ind w:left="295" w:hanging="0"/>
      </w:pPr>
      <w:rPr>
        <w:dstrike w:val="false"/>
        <w:strike w:val="false"/>
        <w:vertAlign w:val="baseline"/>
        <w:position w:val="0"/>
        <w:sz w:val="22"/>
        <w:sz w:val="22"/>
        <w:i w:val="false"/>
        <w:u w:val="none"/>
        <w:b w:val="false"/>
        <w:szCs w:val="22"/>
        <w:rFonts w:eastAsia="Calibri" w:cs="Calibri"/>
        <w:color w:val="000000"/>
      </w:rPr>
    </w:lvl>
    <w:lvl w:ilvl="1">
      <w:start w:val="1"/>
      <w:numFmt w:val="decimal"/>
      <w:lvlText w:val="%1.%2."/>
      <w:lvlJc w:val="left"/>
      <w:pPr>
        <w:tabs>
          <w:tab w:val="num" w:pos="0"/>
        </w:tabs>
        <w:ind w:left="712" w:hanging="0"/>
      </w:pPr>
      <w:rPr>
        <w:dstrike w:val="false"/>
        <w:strike w:val="false"/>
        <w:vertAlign w:val="baseline"/>
        <w:position w:val="0"/>
        <w:sz w:val="22"/>
        <w:sz w:val="22"/>
        <w:i w:val="false"/>
        <w:u w:val="none"/>
        <w:b w:val="false"/>
        <w:szCs w:val="22"/>
        <w:rFonts w:eastAsia="Calibri" w:cs="Calibri"/>
        <w:color w:val="000000"/>
      </w:rPr>
    </w:lvl>
    <w:lvl w:ilvl="2">
      <w:start w:val="1"/>
      <w:numFmt w:val="lowerRoman"/>
      <w:lvlText w:val="%2.%3"/>
      <w:lvlJc w:val="left"/>
      <w:pPr>
        <w:tabs>
          <w:tab w:val="num" w:pos="0"/>
        </w:tabs>
        <w:ind w:left="1432" w:hanging="0"/>
      </w:pPr>
      <w:rPr>
        <w:dstrike w:val="false"/>
        <w:strike w:val="false"/>
        <w:vertAlign w:val="baseline"/>
        <w:position w:val="0"/>
        <w:sz w:val="22"/>
        <w:sz w:val="22"/>
        <w:i w:val="false"/>
        <w:u w:val="none"/>
        <w:b w:val="false"/>
        <w:szCs w:val="22"/>
        <w:rFonts w:eastAsia="Calibri" w:cs="Calibri"/>
        <w:color w:val="000000"/>
      </w:rPr>
    </w:lvl>
    <w:lvl w:ilvl="3">
      <w:start w:val="1"/>
      <w:numFmt w:val="decimal"/>
      <w:lvlText w:val="%3.%4"/>
      <w:lvlJc w:val="left"/>
      <w:pPr>
        <w:tabs>
          <w:tab w:val="num" w:pos="0"/>
        </w:tabs>
        <w:ind w:left="2152" w:hanging="0"/>
      </w:pPr>
      <w:rPr>
        <w:dstrike w:val="false"/>
        <w:strike w:val="false"/>
        <w:vertAlign w:val="baseline"/>
        <w:position w:val="0"/>
        <w:sz w:val="22"/>
        <w:sz w:val="22"/>
        <w:i w:val="false"/>
        <w:u w:val="none"/>
        <w:b w:val="false"/>
        <w:szCs w:val="22"/>
        <w:rFonts w:eastAsia="Calibri" w:cs="Calibri"/>
        <w:color w:val="000000"/>
      </w:rPr>
    </w:lvl>
    <w:lvl w:ilvl="4">
      <w:start w:val="1"/>
      <w:numFmt w:val="lowerLetter"/>
      <w:lvlText w:val="%4.%5"/>
      <w:lvlJc w:val="left"/>
      <w:pPr>
        <w:tabs>
          <w:tab w:val="num" w:pos="0"/>
        </w:tabs>
        <w:ind w:left="2872" w:hanging="0"/>
      </w:pPr>
      <w:rPr>
        <w:dstrike w:val="false"/>
        <w:strike w:val="false"/>
        <w:vertAlign w:val="baseline"/>
        <w:position w:val="0"/>
        <w:sz w:val="22"/>
        <w:sz w:val="22"/>
        <w:i w:val="false"/>
        <w:u w:val="none"/>
        <w:b w:val="false"/>
        <w:szCs w:val="22"/>
        <w:rFonts w:eastAsia="Calibri" w:cs="Calibri"/>
        <w:color w:val="000000"/>
      </w:rPr>
    </w:lvl>
    <w:lvl w:ilvl="5">
      <w:start w:val="1"/>
      <w:numFmt w:val="lowerRoman"/>
      <w:lvlText w:val="%5.%6"/>
      <w:lvlJc w:val="left"/>
      <w:pPr>
        <w:tabs>
          <w:tab w:val="num" w:pos="0"/>
        </w:tabs>
        <w:ind w:left="3592" w:hanging="0"/>
      </w:pPr>
      <w:rPr>
        <w:dstrike w:val="false"/>
        <w:strike w:val="false"/>
        <w:vertAlign w:val="baseline"/>
        <w:position w:val="0"/>
        <w:sz w:val="22"/>
        <w:sz w:val="22"/>
        <w:i w:val="false"/>
        <w:u w:val="none"/>
        <w:b w:val="false"/>
        <w:szCs w:val="22"/>
        <w:rFonts w:eastAsia="Calibri" w:cs="Calibri"/>
        <w:color w:val="000000"/>
      </w:rPr>
    </w:lvl>
    <w:lvl w:ilvl="6">
      <w:start w:val="1"/>
      <w:numFmt w:val="decimal"/>
      <w:lvlText w:val="%6.%7"/>
      <w:lvlJc w:val="left"/>
      <w:pPr>
        <w:tabs>
          <w:tab w:val="num" w:pos="0"/>
        </w:tabs>
        <w:ind w:left="4312" w:hanging="0"/>
      </w:pPr>
      <w:rPr>
        <w:dstrike w:val="false"/>
        <w:strike w:val="false"/>
        <w:vertAlign w:val="baseline"/>
        <w:position w:val="0"/>
        <w:sz w:val="22"/>
        <w:sz w:val="22"/>
        <w:i w:val="false"/>
        <w:u w:val="none"/>
        <w:b w:val="false"/>
        <w:szCs w:val="22"/>
        <w:rFonts w:eastAsia="Calibri" w:cs="Calibri"/>
        <w:color w:val="000000"/>
      </w:rPr>
    </w:lvl>
    <w:lvl w:ilvl="7">
      <w:start w:val="1"/>
      <w:numFmt w:val="lowerLetter"/>
      <w:lvlText w:val="%7.%8"/>
      <w:lvlJc w:val="left"/>
      <w:pPr>
        <w:tabs>
          <w:tab w:val="num" w:pos="0"/>
        </w:tabs>
        <w:ind w:left="5032" w:hanging="0"/>
      </w:pPr>
      <w:rPr>
        <w:dstrike w:val="false"/>
        <w:strike w:val="false"/>
        <w:vertAlign w:val="baseline"/>
        <w:position w:val="0"/>
        <w:sz w:val="22"/>
        <w:sz w:val="22"/>
        <w:i w:val="false"/>
        <w:u w:val="none"/>
        <w:b w:val="false"/>
        <w:szCs w:val="22"/>
        <w:rFonts w:eastAsia="Calibri" w:cs="Calibri"/>
        <w:color w:val="000000"/>
      </w:rPr>
    </w:lvl>
    <w:lvl w:ilvl="8">
      <w:start w:val="1"/>
      <w:numFmt w:val="lowerRoman"/>
      <w:lvlText w:val="%8.%9"/>
      <w:lvlJc w:val="left"/>
      <w:pPr>
        <w:tabs>
          <w:tab w:val="num" w:pos="0"/>
        </w:tabs>
        <w:ind w:left="5752" w:hanging="0"/>
      </w:pPr>
      <w:rPr>
        <w:dstrike w:val="false"/>
        <w:strike w:val="false"/>
        <w:vertAlign w:val="baseline"/>
        <w:position w:val="0"/>
        <w:sz w:val="22"/>
        <w:sz w:val="22"/>
        <w:i w:val="false"/>
        <w:u w:val="none"/>
        <w:b w:val="false"/>
        <w:szCs w:val="22"/>
        <w:rFonts w:eastAsia="Calibri" w:cs="Calibri"/>
        <w:color w:val="000000"/>
      </w:rPr>
    </w:lvl>
  </w:abstractNum>
  <w:abstractNum w:abstractNumId="3">
    <w:lvl w:ilvl="0">
      <w:start w:val="1"/>
      <w:numFmt w:val="decimal"/>
      <w:lvlText w:val="(%1)"/>
      <w:lvlJc w:val="left"/>
      <w:pPr>
        <w:tabs>
          <w:tab w:val="num" w:pos="0"/>
        </w:tabs>
        <w:ind w:left="10" w:hanging="0"/>
      </w:pPr>
      <w:rPr>
        <w:dstrike w:val="false"/>
        <w:strike w:val="false"/>
        <w:vertAlign w:val="baseline"/>
        <w:position w:val="0"/>
        <w:sz w:val="22"/>
        <w:sz w:val="22"/>
        <w:i w:val="false"/>
        <w:u w:val="none"/>
        <w:b w:val="false"/>
        <w:szCs w:val="22"/>
        <w:rFonts w:eastAsia="Calibri" w:cs="Calibri"/>
        <w:color w:val="000000"/>
      </w:rPr>
    </w:lvl>
    <w:lvl w:ilvl="1">
      <w:start w:val="1"/>
      <w:numFmt w:val="bullet"/>
      <w:lvlText w:val="•"/>
      <w:lvlJc w:val="left"/>
      <w:pPr>
        <w:tabs>
          <w:tab w:val="num" w:pos="0"/>
        </w:tabs>
        <w:ind w:left="720" w:hanging="0"/>
      </w:pPr>
      <w:rPr>
        <w:rFonts w:ascii="Arial" w:hAnsi="Arial" w:cs="Arial" w:hint="default"/>
      </w:rPr>
    </w:lvl>
    <w:lvl w:ilvl="2">
      <w:start w:val="1"/>
      <w:numFmt w:val="bullet"/>
      <w:lvlText w:val="▪"/>
      <w:lvlJc w:val="left"/>
      <w:pPr>
        <w:tabs>
          <w:tab w:val="num" w:pos="0"/>
        </w:tabs>
        <w:ind w:left="1439" w:hanging="0"/>
      </w:pPr>
      <w:rPr>
        <w:rFonts w:ascii="Segoe UI Symbol" w:hAnsi="Segoe UI Symbol" w:cs="Segoe UI Symbol" w:hint="default"/>
      </w:rPr>
    </w:lvl>
    <w:lvl w:ilvl="3">
      <w:start w:val="1"/>
      <w:numFmt w:val="bullet"/>
      <w:lvlText w:val="•"/>
      <w:lvlJc w:val="left"/>
      <w:pPr>
        <w:tabs>
          <w:tab w:val="num" w:pos="0"/>
        </w:tabs>
        <w:ind w:left="2159" w:hanging="0"/>
      </w:pPr>
      <w:rPr>
        <w:rFonts w:ascii="Arial" w:hAnsi="Arial" w:cs="Arial" w:hint="default"/>
      </w:rPr>
    </w:lvl>
    <w:lvl w:ilvl="4">
      <w:start w:val="1"/>
      <w:numFmt w:val="bullet"/>
      <w:lvlText w:val="o"/>
      <w:lvlJc w:val="left"/>
      <w:pPr>
        <w:tabs>
          <w:tab w:val="num" w:pos="0"/>
        </w:tabs>
        <w:ind w:left="2879" w:hanging="0"/>
      </w:pPr>
      <w:rPr>
        <w:rFonts w:ascii="Segoe UI Symbol" w:hAnsi="Segoe UI Symbol" w:cs="Segoe UI Symbol" w:hint="default"/>
      </w:rPr>
    </w:lvl>
    <w:lvl w:ilvl="5">
      <w:start w:val="1"/>
      <w:numFmt w:val="bullet"/>
      <w:lvlText w:val="▪"/>
      <w:lvlJc w:val="left"/>
      <w:pPr>
        <w:tabs>
          <w:tab w:val="num" w:pos="0"/>
        </w:tabs>
        <w:ind w:left="3599" w:hanging="0"/>
      </w:pPr>
      <w:rPr>
        <w:rFonts w:ascii="Segoe UI Symbol" w:hAnsi="Segoe UI Symbol" w:cs="Segoe UI Symbol" w:hint="default"/>
      </w:rPr>
    </w:lvl>
    <w:lvl w:ilvl="6">
      <w:start w:val="1"/>
      <w:numFmt w:val="bullet"/>
      <w:lvlText w:val="•"/>
      <w:lvlJc w:val="left"/>
      <w:pPr>
        <w:tabs>
          <w:tab w:val="num" w:pos="0"/>
        </w:tabs>
        <w:ind w:left="4319" w:hanging="0"/>
      </w:pPr>
      <w:rPr>
        <w:rFonts w:ascii="Arial" w:hAnsi="Arial" w:cs="Arial" w:hint="default"/>
      </w:rPr>
    </w:lvl>
    <w:lvl w:ilvl="7">
      <w:start w:val="1"/>
      <w:numFmt w:val="bullet"/>
      <w:lvlText w:val="o"/>
      <w:lvlJc w:val="left"/>
      <w:pPr>
        <w:tabs>
          <w:tab w:val="num" w:pos="0"/>
        </w:tabs>
        <w:ind w:left="5039" w:hanging="0"/>
      </w:pPr>
      <w:rPr>
        <w:rFonts w:ascii="Segoe UI Symbol" w:hAnsi="Segoe UI Symbol" w:cs="Segoe UI Symbol" w:hint="default"/>
      </w:rPr>
    </w:lvl>
    <w:lvl w:ilvl="8">
      <w:start w:val="1"/>
      <w:numFmt w:val="bullet"/>
      <w:lvlText w:val="▪"/>
      <w:lvlJc w:val="left"/>
      <w:pPr>
        <w:tabs>
          <w:tab w:val="num" w:pos="0"/>
        </w:tabs>
        <w:ind w:left="5759" w:hanging="0"/>
      </w:pPr>
      <w:rPr>
        <w:rFonts w:ascii="Segoe UI Symbol" w:hAnsi="Segoe UI Symbol" w:cs="Segoe UI Symbol" w:hint="default"/>
      </w:rPr>
    </w:lvl>
  </w:abstractNum>
  <w:abstractNum w:abstractNumId="4">
    <w:lvl w:ilvl="0">
      <w:start w:val="1"/>
      <w:numFmt w:val="decimal"/>
      <w:lvlText w:val="(%1)"/>
      <w:lvlJc w:val="left"/>
      <w:pPr>
        <w:tabs>
          <w:tab w:val="num" w:pos="0"/>
        </w:tabs>
        <w:ind w:left="10" w:hanging="0"/>
      </w:pPr>
      <w:rPr>
        <w:dstrike w:val="false"/>
        <w:strike w:val="false"/>
        <w:vertAlign w:val="baseline"/>
        <w:position w:val="0"/>
        <w:sz w:val="22"/>
        <w:sz w:val="22"/>
        <w:i w:val="false"/>
        <w:u w:val="none"/>
        <w:b w:val="false"/>
        <w:szCs w:val="22"/>
        <w:rFonts w:eastAsia="Calibri" w:cs="Calibri"/>
        <w:color w:val="000000"/>
      </w:rPr>
    </w:lvl>
    <w:lvl w:ilvl="1">
      <w:start w:val="1"/>
      <w:numFmt w:val="bullet"/>
      <w:lvlText w:val="•"/>
      <w:lvlJc w:val="left"/>
      <w:pPr>
        <w:tabs>
          <w:tab w:val="num" w:pos="0"/>
        </w:tabs>
        <w:ind w:left="708" w:hanging="0"/>
      </w:pPr>
      <w:rPr>
        <w:rFonts w:ascii="Arial" w:hAnsi="Arial" w:cs="Arial" w:hint="default"/>
      </w:rPr>
    </w:lvl>
    <w:lvl w:ilvl="2">
      <w:start w:val="1"/>
      <w:numFmt w:val="bullet"/>
      <w:lvlText w:val="▪"/>
      <w:lvlJc w:val="left"/>
      <w:pPr>
        <w:tabs>
          <w:tab w:val="num" w:pos="0"/>
        </w:tabs>
        <w:ind w:left="1429" w:hanging="0"/>
      </w:pPr>
      <w:rPr>
        <w:rFonts w:ascii="Segoe UI Symbol" w:hAnsi="Segoe UI Symbol" w:cs="Segoe UI Symbol" w:hint="default"/>
      </w:rPr>
    </w:lvl>
    <w:lvl w:ilvl="3">
      <w:start w:val="1"/>
      <w:numFmt w:val="bullet"/>
      <w:lvlText w:val="•"/>
      <w:lvlJc w:val="left"/>
      <w:pPr>
        <w:tabs>
          <w:tab w:val="num" w:pos="0"/>
        </w:tabs>
        <w:ind w:left="2149" w:hanging="0"/>
      </w:pPr>
      <w:rPr>
        <w:rFonts w:ascii="Arial" w:hAnsi="Arial" w:cs="Arial" w:hint="default"/>
      </w:rPr>
    </w:lvl>
    <w:lvl w:ilvl="4">
      <w:start w:val="1"/>
      <w:numFmt w:val="bullet"/>
      <w:lvlText w:val="o"/>
      <w:lvlJc w:val="left"/>
      <w:pPr>
        <w:tabs>
          <w:tab w:val="num" w:pos="0"/>
        </w:tabs>
        <w:ind w:left="2869" w:hanging="0"/>
      </w:pPr>
      <w:rPr>
        <w:rFonts w:ascii="Segoe UI Symbol" w:hAnsi="Segoe UI Symbol" w:cs="Segoe UI Symbol" w:hint="default"/>
      </w:rPr>
    </w:lvl>
    <w:lvl w:ilvl="5">
      <w:start w:val="1"/>
      <w:numFmt w:val="bullet"/>
      <w:lvlText w:val="▪"/>
      <w:lvlJc w:val="left"/>
      <w:pPr>
        <w:tabs>
          <w:tab w:val="num" w:pos="0"/>
        </w:tabs>
        <w:ind w:left="3589" w:hanging="0"/>
      </w:pPr>
      <w:rPr>
        <w:rFonts w:ascii="Segoe UI Symbol" w:hAnsi="Segoe UI Symbol" w:cs="Segoe UI Symbol" w:hint="default"/>
      </w:rPr>
    </w:lvl>
    <w:lvl w:ilvl="6">
      <w:start w:val="1"/>
      <w:numFmt w:val="bullet"/>
      <w:lvlText w:val="•"/>
      <w:lvlJc w:val="left"/>
      <w:pPr>
        <w:tabs>
          <w:tab w:val="num" w:pos="0"/>
        </w:tabs>
        <w:ind w:left="4309" w:hanging="0"/>
      </w:pPr>
      <w:rPr>
        <w:rFonts w:ascii="Arial" w:hAnsi="Arial" w:cs="Arial" w:hint="default"/>
      </w:rPr>
    </w:lvl>
    <w:lvl w:ilvl="7">
      <w:start w:val="1"/>
      <w:numFmt w:val="bullet"/>
      <w:lvlText w:val="o"/>
      <w:lvlJc w:val="left"/>
      <w:pPr>
        <w:tabs>
          <w:tab w:val="num" w:pos="0"/>
        </w:tabs>
        <w:ind w:left="5029" w:hanging="0"/>
      </w:pPr>
      <w:rPr>
        <w:rFonts w:ascii="Segoe UI Symbol" w:hAnsi="Segoe UI Symbol" w:cs="Segoe UI Symbol" w:hint="default"/>
      </w:rPr>
    </w:lvl>
    <w:lvl w:ilvl="8">
      <w:start w:val="1"/>
      <w:numFmt w:val="bullet"/>
      <w:lvlText w:val="▪"/>
      <w:lvlJc w:val="left"/>
      <w:pPr>
        <w:tabs>
          <w:tab w:val="num" w:pos="0"/>
        </w:tabs>
        <w:ind w:left="5749" w:hanging="0"/>
      </w:pPr>
      <w:rPr>
        <w:rFonts w:ascii="Segoe UI Symbol" w:hAnsi="Segoe UI Symbol" w:cs="Segoe UI Symbol" w:hint="default"/>
      </w:rPr>
    </w:lvl>
  </w:abstractNum>
  <w:abstractNum w:abstractNumId="5">
    <w:lvl w:ilvl="0">
      <w:start w:val="1"/>
      <w:numFmt w:val="decimal"/>
      <w:lvlText w:val="(%1)"/>
      <w:lvlJc w:val="left"/>
      <w:pPr>
        <w:tabs>
          <w:tab w:val="num" w:pos="0"/>
        </w:tabs>
        <w:ind w:left="295" w:hanging="0"/>
      </w:pPr>
      <w:rPr>
        <w:dstrike w:val="false"/>
        <w:strike w:val="false"/>
        <w:vertAlign w:val="baseline"/>
        <w:position w:val="0"/>
        <w:sz w:val="22"/>
        <w:sz w:val="22"/>
        <w:i w:val="false"/>
        <w:u w:val="none"/>
        <w:b w:val="false"/>
        <w:szCs w:val="22"/>
        <w:rFonts w:eastAsia="Calibri" w:cs="Calibri"/>
        <w:color w:val="000000"/>
      </w:rPr>
    </w:lvl>
    <w:lvl w:ilvl="1">
      <w:start w:val="1"/>
      <w:numFmt w:val="decimal"/>
      <w:lvlText w:val="%1.%2."/>
      <w:lvlJc w:val="left"/>
      <w:pPr>
        <w:tabs>
          <w:tab w:val="num" w:pos="0"/>
        </w:tabs>
        <w:ind w:left="708" w:hanging="0"/>
      </w:pPr>
      <w:rPr>
        <w:dstrike w:val="false"/>
        <w:strike w:val="false"/>
        <w:vertAlign w:val="baseline"/>
        <w:position w:val="0"/>
        <w:sz w:val="22"/>
        <w:sz w:val="22"/>
        <w:i w:val="false"/>
        <w:u w:val="none"/>
        <w:b w:val="false"/>
        <w:szCs w:val="22"/>
        <w:rFonts w:eastAsia="Calibri" w:cs="Calibri"/>
        <w:color w:val="231F20"/>
      </w:rPr>
    </w:lvl>
    <w:lvl w:ilvl="2">
      <w:start w:val="1"/>
      <w:numFmt w:val="lowerRoman"/>
      <w:lvlText w:val="%2.%3"/>
      <w:lvlJc w:val="left"/>
      <w:pPr>
        <w:tabs>
          <w:tab w:val="num" w:pos="0"/>
        </w:tabs>
        <w:ind w:left="1428" w:hanging="0"/>
      </w:pPr>
      <w:rPr>
        <w:dstrike w:val="false"/>
        <w:strike w:val="false"/>
        <w:vertAlign w:val="baseline"/>
        <w:position w:val="0"/>
        <w:sz w:val="22"/>
        <w:sz w:val="22"/>
        <w:i w:val="false"/>
        <w:u w:val="none"/>
        <w:b w:val="false"/>
        <w:szCs w:val="22"/>
        <w:rFonts w:eastAsia="Calibri" w:cs="Calibri"/>
        <w:color w:val="231F20"/>
      </w:rPr>
    </w:lvl>
    <w:lvl w:ilvl="3">
      <w:start w:val="1"/>
      <w:numFmt w:val="decimal"/>
      <w:lvlText w:val="%3.%4"/>
      <w:lvlJc w:val="left"/>
      <w:pPr>
        <w:tabs>
          <w:tab w:val="num" w:pos="0"/>
        </w:tabs>
        <w:ind w:left="2148" w:hanging="0"/>
      </w:pPr>
      <w:rPr>
        <w:dstrike w:val="false"/>
        <w:strike w:val="false"/>
        <w:vertAlign w:val="baseline"/>
        <w:position w:val="0"/>
        <w:sz w:val="22"/>
        <w:sz w:val="22"/>
        <w:i w:val="false"/>
        <w:u w:val="none"/>
        <w:b w:val="false"/>
        <w:szCs w:val="22"/>
        <w:rFonts w:eastAsia="Calibri" w:cs="Calibri"/>
        <w:color w:val="231F20"/>
      </w:rPr>
    </w:lvl>
    <w:lvl w:ilvl="4">
      <w:start w:val="1"/>
      <w:numFmt w:val="lowerLetter"/>
      <w:lvlText w:val="%4.%5"/>
      <w:lvlJc w:val="left"/>
      <w:pPr>
        <w:tabs>
          <w:tab w:val="num" w:pos="0"/>
        </w:tabs>
        <w:ind w:left="2868" w:hanging="0"/>
      </w:pPr>
      <w:rPr>
        <w:dstrike w:val="false"/>
        <w:strike w:val="false"/>
        <w:vertAlign w:val="baseline"/>
        <w:position w:val="0"/>
        <w:sz w:val="22"/>
        <w:sz w:val="22"/>
        <w:i w:val="false"/>
        <w:u w:val="none"/>
        <w:b w:val="false"/>
        <w:szCs w:val="22"/>
        <w:rFonts w:eastAsia="Calibri" w:cs="Calibri"/>
        <w:color w:val="231F20"/>
      </w:rPr>
    </w:lvl>
    <w:lvl w:ilvl="5">
      <w:start w:val="1"/>
      <w:numFmt w:val="lowerRoman"/>
      <w:lvlText w:val="%5.%6"/>
      <w:lvlJc w:val="left"/>
      <w:pPr>
        <w:tabs>
          <w:tab w:val="num" w:pos="0"/>
        </w:tabs>
        <w:ind w:left="3588" w:hanging="0"/>
      </w:pPr>
      <w:rPr>
        <w:dstrike w:val="false"/>
        <w:strike w:val="false"/>
        <w:vertAlign w:val="baseline"/>
        <w:position w:val="0"/>
        <w:sz w:val="22"/>
        <w:sz w:val="22"/>
        <w:i w:val="false"/>
        <w:u w:val="none"/>
        <w:b w:val="false"/>
        <w:szCs w:val="22"/>
        <w:rFonts w:eastAsia="Calibri" w:cs="Calibri"/>
        <w:color w:val="231F20"/>
      </w:rPr>
    </w:lvl>
    <w:lvl w:ilvl="6">
      <w:start w:val="1"/>
      <w:numFmt w:val="decimal"/>
      <w:lvlText w:val="%6.%7"/>
      <w:lvlJc w:val="left"/>
      <w:pPr>
        <w:tabs>
          <w:tab w:val="num" w:pos="0"/>
        </w:tabs>
        <w:ind w:left="4308" w:hanging="0"/>
      </w:pPr>
      <w:rPr>
        <w:dstrike w:val="false"/>
        <w:strike w:val="false"/>
        <w:vertAlign w:val="baseline"/>
        <w:position w:val="0"/>
        <w:sz w:val="22"/>
        <w:sz w:val="22"/>
        <w:i w:val="false"/>
        <w:u w:val="none"/>
        <w:b w:val="false"/>
        <w:szCs w:val="22"/>
        <w:rFonts w:eastAsia="Calibri" w:cs="Calibri"/>
        <w:color w:val="231F20"/>
      </w:rPr>
    </w:lvl>
    <w:lvl w:ilvl="7">
      <w:start w:val="1"/>
      <w:numFmt w:val="lowerLetter"/>
      <w:lvlText w:val="%7.%8"/>
      <w:lvlJc w:val="left"/>
      <w:pPr>
        <w:tabs>
          <w:tab w:val="num" w:pos="0"/>
        </w:tabs>
        <w:ind w:left="5028" w:hanging="0"/>
      </w:pPr>
      <w:rPr>
        <w:dstrike w:val="false"/>
        <w:strike w:val="false"/>
        <w:vertAlign w:val="baseline"/>
        <w:position w:val="0"/>
        <w:sz w:val="22"/>
        <w:sz w:val="22"/>
        <w:i w:val="false"/>
        <w:u w:val="none"/>
        <w:b w:val="false"/>
        <w:szCs w:val="22"/>
        <w:rFonts w:eastAsia="Calibri" w:cs="Calibri"/>
        <w:color w:val="231F20"/>
      </w:rPr>
    </w:lvl>
    <w:lvl w:ilvl="8">
      <w:start w:val="1"/>
      <w:numFmt w:val="lowerRoman"/>
      <w:lvlText w:val="%8.%9"/>
      <w:lvlJc w:val="left"/>
      <w:pPr>
        <w:tabs>
          <w:tab w:val="num" w:pos="0"/>
        </w:tabs>
        <w:ind w:left="5748" w:hanging="0"/>
      </w:pPr>
      <w:rPr>
        <w:dstrike w:val="false"/>
        <w:strike w:val="false"/>
        <w:vertAlign w:val="baseline"/>
        <w:position w:val="0"/>
        <w:sz w:val="22"/>
        <w:sz w:val="22"/>
        <w:i w:val="false"/>
        <w:u w:val="none"/>
        <w:b w:val="false"/>
        <w:szCs w:val="22"/>
        <w:rFonts w:eastAsia="Calibri" w:cs="Calibri"/>
        <w:color w:val="231F20"/>
      </w:rPr>
    </w:lvl>
  </w:abstractNum>
  <w:abstractNum w:abstractNumId="6">
    <w:lvl w:ilvl="0">
      <w:start w:val="1"/>
      <w:numFmt w:val="decimal"/>
      <w:lvlText w:val="%1."/>
      <w:lvlJc w:val="left"/>
      <w:pPr>
        <w:tabs>
          <w:tab w:val="num" w:pos="0"/>
        </w:tabs>
        <w:ind w:left="710" w:hanging="0"/>
      </w:pPr>
      <w:rPr>
        <w:dstrike w:val="false"/>
        <w:strike w:val="false"/>
        <w:vertAlign w:val="baseline"/>
        <w:position w:val="0"/>
        <w:sz w:val="22"/>
        <w:sz w:val="22"/>
        <w:i w:val="false"/>
        <w:u w:val="none"/>
        <w:b w:val="false"/>
        <w:szCs w:val="22"/>
        <w:rFonts w:eastAsia="Calibri" w:cs="Calibri"/>
        <w:color w:val="231F20"/>
      </w:rPr>
    </w:lvl>
    <w:lvl w:ilvl="1">
      <w:start w:val="1"/>
      <w:numFmt w:val="lowerLetter"/>
      <w:lvlText w:val="%1.%2"/>
      <w:lvlJc w:val="left"/>
      <w:pPr>
        <w:tabs>
          <w:tab w:val="num" w:pos="0"/>
        </w:tabs>
        <w:ind w:left="1430" w:hanging="0"/>
      </w:pPr>
      <w:rPr>
        <w:dstrike w:val="false"/>
        <w:strike w:val="false"/>
        <w:vertAlign w:val="baseline"/>
        <w:position w:val="0"/>
        <w:sz w:val="22"/>
        <w:sz w:val="22"/>
        <w:i w:val="false"/>
        <w:u w:val="none"/>
        <w:b w:val="false"/>
        <w:szCs w:val="22"/>
        <w:rFonts w:eastAsia="Calibri" w:cs="Calibri"/>
        <w:color w:val="231F20"/>
      </w:rPr>
    </w:lvl>
    <w:lvl w:ilvl="2">
      <w:start w:val="1"/>
      <w:numFmt w:val="lowerRoman"/>
      <w:lvlText w:val="%2.%3"/>
      <w:lvlJc w:val="left"/>
      <w:pPr>
        <w:tabs>
          <w:tab w:val="num" w:pos="0"/>
        </w:tabs>
        <w:ind w:left="2150" w:hanging="0"/>
      </w:pPr>
      <w:rPr>
        <w:dstrike w:val="false"/>
        <w:strike w:val="false"/>
        <w:vertAlign w:val="baseline"/>
        <w:position w:val="0"/>
        <w:sz w:val="22"/>
        <w:sz w:val="22"/>
        <w:i w:val="false"/>
        <w:u w:val="none"/>
        <w:b w:val="false"/>
        <w:szCs w:val="22"/>
        <w:rFonts w:eastAsia="Calibri" w:cs="Calibri"/>
        <w:color w:val="231F20"/>
      </w:rPr>
    </w:lvl>
    <w:lvl w:ilvl="3">
      <w:start w:val="1"/>
      <w:numFmt w:val="decimal"/>
      <w:lvlText w:val="%3.%4"/>
      <w:lvlJc w:val="left"/>
      <w:pPr>
        <w:tabs>
          <w:tab w:val="num" w:pos="0"/>
        </w:tabs>
        <w:ind w:left="2870" w:hanging="0"/>
      </w:pPr>
      <w:rPr>
        <w:dstrike w:val="false"/>
        <w:strike w:val="false"/>
        <w:vertAlign w:val="baseline"/>
        <w:position w:val="0"/>
        <w:sz w:val="22"/>
        <w:sz w:val="22"/>
        <w:i w:val="false"/>
        <w:u w:val="none"/>
        <w:b w:val="false"/>
        <w:szCs w:val="22"/>
        <w:rFonts w:eastAsia="Calibri" w:cs="Calibri"/>
        <w:color w:val="231F20"/>
      </w:rPr>
    </w:lvl>
    <w:lvl w:ilvl="4">
      <w:start w:val="1"/>
      <w:numFmt w:val="lowerLetter"/>
      <w:lvlText w:val="%4.%5"/>
      <w:lvlJc w:val="left"/>
      <w:pPr>
        <w:tabs>
          <w:tab w:val="num" w:pos="0"/>
        </w:tabs>
        <w:ind w:left="3590" w:hanging="0"/>
      </w:pPr>
      <w:rPr>
        <w:dstrike w:val="false"/>
        <w:strike w:val="false"/>
        <w:vertAlign w:val="baseline"/>
        <w:position w:val="0"/>
        <w:sz w:val="22"/>
        <w:sz w:val="22"/>
        <w:i w:val="false"/>
        <w:u w:val="none"/>
        <w:b w:val="false"/>
        <w:szCs w:val="22"/>
        <w:rFonts w:eastAsia="Calibri" w:cs="Calibri"/>
        <w:color w:val="231F20"/>
      </w:rPr>
    </w:lvl>
    <w:lvl w:ilvl="5">
      <w:start w:val="1"/>
      <w:numFmt w:val="lowerRoman"/>
      <w:lvlText w:val="%5.%6"/>
      <w:lvlJc w:val="left"/>
      <w:pPr>
        <w:tabs>
          <w:tab w:val="num" w:pos="0"/>
        </w:tabs>
        <w:ind w:left="4310" w:hanging="0"/>
      </w:pPr>
      <w:rPr>
        <w:dstrike w:val="false"/>
        <w:strike w:val="false"/>
        <w:vertAlign w:val="baseline"/>
        <w:position w:val="0"/>
        <w:sz w:val="22"/>
        <w:sz w:val="22"/>
        <w:i w:val="false"/>
        <w:u w:val="none"/>
        <w:b w:val="false"/>
        <w:szCs w:val="22"/>
        <w:rFonts w:eastAsia="Calibri" w:cs="Calibri"/>
        <w:color w:val="231F20"/>
      </w:rPr>
    </w:lvl>
    <w:lvl w:ilvl="6">
      <w:start w:val="1"/>
      <w:numFmt w:val="decimal"/>
      <w:lvlText w:val="%6.%7"/>
      <w:lvlJc w:val="left"/>
      <w:pPr>
        <w:tabs>
          <w:tab w:val="num" w:pos="0"/>
        </w:tabs>
        <w:ind w:left="5030" w:hanging="0"/>
      </w:pPr>
      <w:rPr>
        <w:dstrike w:val="false"/>
        <w:strike w:val="false"/>
        <w:vertAlign w:val="baseline"/>
        <w:position w:val="0"/>
        <w:sz w:val="22"/>
        <w:sz w:val="22"/>
        <w:i w:val="false"/>
        <w:u w:val="none"/>
        <w:b w:val="false"/>
        <w:szCs w:val="22"/>
        <w:rFonts w:eastAsia="Calibri" w:cs="Calibri"/>
        <w:color w:val="231F20"/>
      </w:rPr>
    </w:lvl>
    <w:lvl w:ilvl="7">
      <w:start w:val="1"/>
      <w:numFmt w:val="lowerLetter"/>
      <w:lvlText w:val="%7.%8"/>
      <w:lvlJc w:val="left"/>
      <w:pPr>
        <w:tabs>
          <w:tab w:val="num" w:pos="0"/>
        </w:tabs>
        <w:ind w:left="5750" w:hanging="0"/>
      </w:pPr>
      <w:rPr>
        <w:dstrike w:val="false"/>
        <w:strike w:val="false"/>
        <w:vertAlign w:val="baseline"/>
        <w:position w:val="0"/>
        <w:sz w:val="22"/>
        <w:sz w:val="22"/>
        <w:i w:val="false"/>
        <w:u w:val="none"/>
        <w:b w:val="false"/>
        <w:szCs w:val="22"/>
        <w:rFonts w:eastAsia="Calibri" w:cs="Calibri"/>
        <w:color w:val="231F20"/>
      </w:rPr>
    </w:lvl>
    <w:lvl w:ilvl="8">
      <w:start w:val="1"/>
      <w:numFmt w:val="lowerRoman"/>
      <w:lvlText w:val="%8.%9"/>
      <w:lvlJc w:val="left"/>
      <w:pPr>
        <w:tabs>
          <w:tab w:val="num" w:pos="0"/>
        </w:tabs>
        <w:ind w:left="6470" w:hanging="0"/>
      </w:pPr>
      <w:rPr>
        <w:dstrike w:val="false"/>
        <w:strike w:val="false"/>
        <w:vertAlign w:val="baseline"/>
        <w:position w:val="0"/>
        <w:sz w:val="22"/>
        <w:sz w:val="22"/>
        <w:i w:val="false"/>
        <w:u w:val="none"/>
        <w:b w:val="false"/>
        <w:szCs w:val="22"/>
        <w:rFonts w:eastAsia="Calibri" w:cs="Calibri"/>
        <w:color w:val="231F20"/>
      </w:rPr>
    </w:lvl>
  </w:abstractNum>
  <w:abstractNum w:abstractNumId="7">
    <w:lvl w:ilvl="0">
      <w:start w:val="1"/>
      <w:numFmt w:val="decimal"/>
      <w:lvlText w:val="%1."/>
      <w:lvlJc w:val="left"/>
      <w:pPr>
        <w:tabs>
          <w:tab w:val="num" w:pos="0"/>
        </w:tabs>
        <w:ind w:left="713" w:hanging="0"/>
      </w:pPr>
      <w:rPr>
        <w:dstrike w:val="false"/>
        <w:strike w:val="false"/>
        <w:vertAlign w:val="baseline"/>
        <w:position w:val="0"/>
        <w:sz w:val="22"/>
        <w:sz w:val="22"/>
        <w:i w:val="false"/>
        <w:u w:val="none"/>
        <w:b w:val="false"/>
        <w:szCs w:val="22"/>
        <w:rFonts w:eastAsia="Calibri" w:cs="Calibri"/>
        <w:color w:val="231F20"/>
      </w:rPr>
    </w:lvl>
    <w:lvl w:ilvl="1">
      <w:start w:val="1"/>
      <w:numFmt w:val="lowerLetter"/>
      <w:lvlText w:val="%1.%2"/>
      <w:lvlJc w:val="left"/>
      <w:pPr>
        <w:tabs>
          <w:tab w:val="num" w:pos="0"/>
        </w:tabs>
        <w:ind w:left="1432" w:hanging="0"/>
      </w:pPr>
      <w:rPr>
        <w:dstrike w:val="false"/>
        <w:strike w:val="false"/>
        <w:vertAlign w:val="baseline"/>
        <w:position w:val="0"/>
        <w:sz w:val="22"/>
        <w:sz w:val="22"/>
        <w:i w:val="false"/>
        <w:u w:val="none"/>
        <w:b w:val="false"/>
        <w:szCs w:val="22"/>
        <w:rFonts w:eastAsia="Calibri" w:cs="Calibri"/>
        <w:color w:val="231F20"/>
      </w:rPr>
    </w:lvl>
    <w:lvl w:ilvl="2">
      <w:start w:val="1"/>
      <w:numFmt w:val="lowerRoman"/>
      <w:lvlText w:val="%2.%3"/>
      <w:lvlJc w:val="left"/>
      <w:pPr>
        <w:tabs>
          <w:tab w:val="num" w:pos="0"/>
        </w:tabs>
        <w:ind w:left="2152" w:hanging="0"/>
      </w:pPr>
      <w:rPr>
        <w:dstrike w:val="false"/>
        <w:strike w:val="false"/>
        <w:vertAlign w:val="baseline"/>
        <w:position w:val="0"/>
        <w:sz w:val="22"/>
        <w:sz w:val="22"/>
        <w:i w:val="false"/>
        <w:u w:val="none"/>
        <w:b w:val="false"/>
        <w:szCs w:val="22"/>
        <w:rFonts w:eastAsia="Calibri" w:cs="Calibri"/>
        <w:color w:val="231F20"/>
      </w:rPr>
    </w:lvl>
    <w:lvl w:ilvl="3">
      <w:start w:val="1"/>
      <w:numFmt w:val="decimal"/>
      <w:lvlText w:val="%3.%4"/>
      <w:lvlJc w:val="left"/>
      <w:pPr>
        <w:tabs>
          <w:tab w:val="num" w:pos="0"/>
        </w:tabs>
        <w:ind w:left="2872" w:hanging="0"/>
      </w:pPr>
      <w:rPr>
        <w:dstrike w:val="false"/>
        <w:strike w:val="false"/>
        <w:vertAlign w:val="baseline"/>
        <w:position w:val="0"/>
        <w:sz w:val="22"/>
        <w:sz w:val="22"/>
        <w:i w:val="false"/>
        <w:u w:val="none"/>
        <w:b w:val="false"/>
        <w:szCs w:val="22"/>
        <w:rFonts w:eastAsia="Calibri" w:cs="Calibri"/>
        <w:color w:val="231F20"/>
      </w:rPr>
    </w:lvl>
    <w:lvl w:ilvl="4">
      <w:start w:val="1"/>
      <w:numFmt w:val="lowerLetter"/>
      <w:lvlText w:val="%4.%5"/>
      <w:lvlJc w:val="left"/>
      <w:pPr>
        <w:tabs>
          <w:tab w:val="num" w:pos="0"/>
        </w:tabs>
        <w:ind w:left="3592" w:hanging="0"/>
      </w:pPr>
      <w:rPr>
        <w:dstrike w:val="false"/>
        <w:strike w:val="false"/>
        <w:vertAlign w:val="baseline"/>
        <w:position w:val="0"/>
        <w:sz w:val="22"/>
        <w:sz w:val="22"/>
        <w:i w:val="false"/>
        <w:u w:val="none"/>
        <w:b w:val="false"/>
        <w:szCs w:val="22"/>
        <w:rFonts w:eastAsia="Calibri" w:cs="Calibri"/>
        <w:color w:val="231F20"/>
      </w:rPr>
    </w:lvl>
    <w:lvl w:ilvl="5">
      <w:start w:val="1"/>
      <w:numFmt w:val="lowerRoman"/>
      <w:lvlText w:val="%5.%6"/>
      <w:lvlJc w:val="left"/>
      <w:pPr>
        <w:tabs>
          <w:tab w:val="num" w:pos="0"/>
        </w:tabs>
        <w:ind w:left="4312" w:hanging="0"/>
      </w:pPr>
      <w:rPr>
        <w:dstrike w:val="false"/>
        <w:strike w:val="false"/>
        <w:vertAlign w:val="baseline"/>
        <w:position w:val="0"/>
        <w:sz w:val="22"/>
        <w:sz w:val="22"/>
        <w:i w:val="false"/>
        <w:u w:val="none"/>
        <w:b w:val="false"/>
        <w:szCs w:val="22"/>
        <w:rFonts w:eastAsia="Calibri" w:cs="Calibri"/>
        <w:color w:val="231F20"/>
      </w:rPr>
    </w:lvl>
    <w:lvl w:ilvl="6">
      <w:start w:val="1"/>
      <w:numFmt w:val="decimal"/>
      <w:lvlText w:val="%6.%7"/>
      <w:lvlJc w:val="left"/>
      <w:pPr>
        <w:tabs>
          <w:tab w:val="num" w:pos="0"/>
        </w:tabs>
        <w:ind w:left="5032" w:hanging="0"/>
      </w:pPr>
      <w:rPr>
        <w:dstrike w:val="false"/>
        <w:strike w:val="false"/>
        <w:vertAlign w:val="baseline"/>
        <w:position w:val="0"/>
        <w:sz w:val="22"/>
        <w:sz w:val="22"/>
        <w:i w:val="false"/>
        <w:u w:val="none"/>
        <w:b w:val="false"/>
        <w:szCs w:val="22"/>
        <w:rFonts w:eastAsia="Calibri" w:cs="Calibri"/>
        <w:color w:val="231F20"/>
      </w:rPr>
    </w:lvl>
    <w:lvl w:ilvl="7">
      <w:start w:val="1"/>
      <w:numFmt w:val="lowerLetter"/>
      <w:lvlText w:val="%7.%8"/>
      <w:lvlJc w:val="left"/>
      <w:pPr>
        <w:tabs>
          <w:tab w:val="num" w:pos="0"/>
        </w:tabs>
        <w:ind w:left="5752" w:hanging="0"/>
      </w:pPr>
      <w:rPr>
        <w:dstrike w:val="false"/>
        <w:strike w:val="false"/>
        <w:vertAlign w:val="baseline"/>
        <w:position w:val="0"/>
        <w:sz w:val="22"/>
        <w:sz w:val="22"/>
        <w:i w:val="false"/>
        <w:u w:val="none"/>
        <w:b w:val="false"/>
        <w:szCs w:val="22"/>
        <w:rFonts w:eastAsia="Calibri" w:cs="Calibri"/>
        <w:color w:val="231F20"/>
      </w:rPr>
    </w:lvl>
    <w:lvl w:ilvl="8">
      <w:start w:val="1"/>
      <w:numFmt w:val="lowerRoman"/>
      <w:lvlText w:val="%8.%9"/>
      <w:lvlJc w:val="left"/>
      <w:pPr>
        <w:tabs>
          <w:tab w:val="num" w:pos="0"/>
        </w:tabs>
        <w:ind w:left="6472" w:hanging="0"/>
      </w:pPr>
      <w:rPr>
        <w:dstrike w:val="false"/>
        <w:strike w:val="false"/>
        <w:vertAlign w:val="baseline"/>
        <w:position w:val="0"/>
        <w:sz w:val="22"/>
        <w:sz w:val="22"/>
        <w:i w:val="false"/>
        <w:u w:val="none"/>
        <w:b w:val="false"/>
        <w:szCs w:val="22"/>
        <w:rFonts w:eastAsia="Calibri" w:cs="Calibri"/>
        <w:color w:val="231F20"/>
      </w:rPr>
    </w:lvl>
  </w:abstractNum>
  <w:abstractNum w:abstractNumId="8">
    <w:lvl w:ilvl="0">
      <w:start w:val="1"/>
      <w:numFmt w:val="decimal"/>
      <w:lvlText w:val="(%1)"/>
      <w:lvlJc w:val="left"/>
      <w:pPr>
        <w:tabs>
          <w:tab w:val="num" w:pos="0"/>
        </w:tabs>
        <w:ind w:left="297" w:hanging="0"/>
      </w:pPr>
      <w:rPr>
        <w:dstrike w:val="false"/>
        <w:strike w:val="false"/>
        <w:vertAlign w:val="baseline"/>
        <w:position w:val="0"/>
        <w:sz w:val="22"/>
        <w:sz w:val="22"/>
        <w:i w:val="false"/>
        <w:u w:val="none"/>
        <w:b w:val="false"/>
        <w:szCs w:val="22"/>
        <w:rFonts w:eastAsia="Calibri" w:cs="Calibri"/>
        <w:color w:val="000000"/>
      </w:rPr>
    </w:lvl>
    <w:lvl w:ilvl="1">
      <w:start w:val="1"/>
      <w:numFmt w:val="decimal"/>
      <w:lvlText w:val="%1.%2."/>
      <w:lvlJc w:val="left"/>
      <w:pPr>
        <w:tabs>
          <w:tab w:val="num" w:pos="0"/>
        </w:tabs>
        <w:ind w:left="706" w:hanging="0"/>
      </w:pPr>
      <w:rPr>
        <w:dstrike w:val="false"/>
        <w:strike w:val="false"/>
        <w:vertAlign w:val="baseline"/>
        <w:position w:val="0"/>
        <w:sz w:val="22"/>
        <w:sz w:val="22"/>
        <w:i w:val="false"/>
        <w:u w:val="none"/>
        <w:b w:val="false"/>
        <w:szCs w:val="22"/>
        <w:rFonts w:eastAsia="Calibri" w:cs="Calibri"/>
        <w:color w:val="231F20"/>
      </w:rPr>
    </w:lvl>
    <w:lvl w:ilvl="2">
      <w:start w:val="1"/>
      <w:numFmt w:val="lowerRoman"/>
      <w:lvlText w:val="%2.%3"/>
      <w:lvlJc w:val="left"/>
      <w:pPr>
        <w:tabs>
          <w:tab w:val="num" w:pos="0"/>
        </w:tabs>
        <w:ind w:left="1363" w:hanging="0"/>
      </w:pPr>
      <w:rPr>
        <w:dstrike w:val="false"/>
        <w:strike w:val="false"/>
        <w:vertAlign w:val="baseline"/>
        <w:position w:val="0"/>
        <w:sz w:val="22"/>
        <w:sz w:val="22"/>
        <w:i w:val="false"/>
        <w:u w:val="none"/>
        <w:b w:val="false"/>
        <w:szCs w:val="22"/>
        <w:rFonts w:eastAsia="Calibri" w:cs="Calibri"/>
        <w:color w:val="231F20"/>
      </w:rPr>
    </w:lvl>
    <w:lvl w:ilvl="3">
      <w:start w:val="1"/>
      <w:numFmt w:val="decimal"/>
      <w:lvlText w:val="%3.%4"/>
      <w:lvlJc w:val="left"/>
      <w:pPr>
        <w:tabs>
          <w:tab w:val="num" w:pos="0"/>
        </w:tabs>
        <w:ind w:left="2083" w:hanging="0"/>
      </w:pPr>
      <w:rPr>
        <w:dstrike w:val="false"/>
        <w:strike w:val="false"/>
        <w:vertAlign w:val="baseline"/>
        <w:position w:val="0"/>
        <w:sz w:val="22"/>
        <w:sz w:val="22"/>
        <w:i w:val="false"/>
        <w:u w:val="none"/>
        <w:b w:val="false"/>
        <w:szCs w:val="22"/>
        <w:rFonts w:eastAsia="Calibri" w:cs="Calibri"/>
        <w:color w:val="231F20"/>
      </w:rPr>
    </w:lvl>
    <w:lvl w:ilvl="4">
      <w:start w:val="1"/>
      <w:numFmt w:val="lowerLetter"/>
      <w:lvlText w:val="%4.%5"/>
      <w:lvlJc w:val="left"/>
      <w:pPr>
        <w:tabs>
          <w:tab w:val="num" w:pos="0"/>
        </w:tabs>
        <w:ind w:left="2803" w:hanging="0"/>
      </w:pPr>
      <w:rPr>
        <w:dstrike w:val="false"/>
        <w:strike w:val="false"/>
        <w:vertAlign w:val="baseline"/>
        <w:position w:val="0"/>
        <w:sz w:val="22"/>
        <w:sz w:val="22"/>
        <w:i w:val="false"/>
        <w:u w:val="none"/>
        <w:b w:val="false"/>
        <w:szCs w:val="22"/>
        <w:rFonts w:eastAsia="Calibri" w:cs="Calibri"/>
        <w:color w:val="231F20"/>
      </w:rPr>
    </w:lvl>
    <w:lvl w:ilvl="5">
      <w:start w:val="1"/>
      <w:numFmt w:val="lowerRoman"/>
      <w:lvlText w:val="%5.%6"/>
      <w:lvlJc w:val="left"/>
      <w:pPr>
        <w:tabs>
          <w:tab w:val="num" w:pos="0"/>
        </w:tabs>
        <w:ind w:left="3523" w:hanging="0"/>
      </w:pPr>
      <w:rPr>
        <w:dstrike w:val="false"/>
        <w:strike w:val="false"/>
        <w:vertAlign w:val="baseline"/>
        <w:position w:val="0"/>
        <w:sz w:val="22"/>
        <w:sz w:val="22"/>
        <w:i w:val="false"/>
        <w:u w:val="none"/>
        <w:b w:val="false"/>
        <w:szCs w:val="22"/>
        <w:rFonts w:eastAsia="Calibri" w:cs="Calibri"/>
        <w:color w:val="231F20"/>
      </w:rPr>
    </w:lvl>
    <w:lvl w:ilvl="6">
      <w:start w:val="1"/>
      <w:numFmt w:val="decimal"/>
      <w:lvlText w:val="%6.%7"/>
      <w:lvlJc w:val="left"/>
      <w:pPr>
        <w:tabs>
          <w:tab w:val="num" w:pos="0"/>
        </w:tabs>
        <w:ind w:left="4243" w:hanging="0"/>
      </w:pPr>
      <w:rPr>
        <w:dstrike w:val="false"/>
        <w:strike w:val="false"/>
        <w:vertAlign w:val="baseline"/>
        <w:position w:val="0"/>
        <w:sz w:val="22"/>
        <w:sz w:val="22"/>
        <w:i w:val="false"/>
        <w:u w:val="none"/>
        <w:b w:val="false"/>
        <w:szCs w:val="22"/>
        <w:rFonts w:eastAsia="Calibri" w:cs="Calibri"/>
        <w:color w:val="231F20"/>
      </w:rPr>
    </w:lvl>
    <w:lvl w:ilvl="7">
      <w:start w:val="1"/>
      <w:numFmt w:val="lowerLetter"/>
      <w:lvlText w:val="%7.%8"/>
      <w:lvlJc w:val="left"/>
      <w:pPr>
        <w:tabs>
          <w:tab w:val="num" w:pos="0"/>
        </w:tabs>
        <w:ind w:left="4963" w:hanging="0"/>
      </w:pPr>
      <w:rPr>
        <w:dstrike w:val="false"/>
        <w:strike w:val="false"/>
        <w:vertAlign w:val="baseline"/>
        <w:position w:val="0"/>
        <w:sz w:val="22"/>
        <w:sz w:val="22"/>
        <w:i w:val="false"/>
        <w:u w:val="none"/>
        <w:b w:val="false"/>
        <w:szCs w:val="22"/>
        <w:rFonts w:eastAsia="Calibri" w:cs="Calibri"/>
        <w:color w:val="231F20"/>
      </w:rPr>
    </w:lvl>
    <w:lvl w:ilvl="8">
      <w:start w:val="1"/>
      <w:numFmt w:val="lowerRoman"/>
      <w:lvlText w:val="%8.%9"/>
      <w:lvlJc w:val="left"/>
      <w:pPr>
        <w:tabs>
          <w:tab w:val="num" w:pos="0"/>
        </w:tabs>
        <w:ind w:left="5683" w:hanging="0"/>
      </w:pPr>
      <w:rPr>
        <w:dstrike w:val="false"/>
        <w:strike w:val="false"/>
        <w:vertAlign w:val="baseline"/>
        <w:position w:val="0"/>
        <w:sz w:val="22"/>
        <w:sz w:val="22"/>
        <w:i w:val="false"/>
        <w:u w:val="none"/>
        <w:b w:val="false"/>
        <w:szCs w:val="22"/>
        <w:rFonts w:eastAsia="Calibri" w:cs="Calibri"/>
        <w:color w:val="231F20"/>
      </w:rPr>
    </w:lvl>
  </w:abstractNum>
  <w:abstractNum w:abstractNumId="9">
    <w:lvl w:ilvl="0">
      <w:start w:val="1"/>
      <w:numFmt w:val="decimal"/>
      <w:lvlText w:val="(%1)"/>
      <w:lvlJc w:val="left"/>
      <w:pPr>
        <w:tabs>
          <w:tab w:val="num" w:pos="0"/>
        </w:tabs>
        <w:ind w:left="297" w:hanging="0"/>
      </w:pPr>
      <w:rPr>
        <w:dstrike w:val="false"/>
        <w:strike w:val="false"/>
        <w:vertAlign w:val="baseline"/>
        <w:position w:val="0"/>
        <w:sz w:val="22"/>
        <w:sz w:val="22"/>
        <w:i w:val="false"/>
        <w:u w:val="none"/>
        <w:b w:val="false"/>
        <w:szCs w:val="22"/>
        <w:rFonts w:eastAsia="Calibri" w:cs="Calibri"/>
        <w:color w:val="000000"/>
      </w:rPr>
    </w:lvl>
    <w:lvl w:ilvl="1">
      <w:start w:val="1"/>
      <w:numFmt w:val="lowerLetter"/>
      <w:lvlText w:val="%1.%2"/>
      <w:lvlJc w:val="left"/>
      <w:pPr>
        <w:tabs>
          <w:tab w:val="num" w:pos="0"/>
        </w:tabs>
        <w:ind w:left="1080" w:hanging="0"/>
      </w:pPr>
      <w:rPr>
        <w:dstrike w:val="false"/>
        <w:strike w:val="false"/>
        <w:vertAlign w:val="baseline"/>
        <w:position w:val="0"/>
        <w:sz w:val="22"/>
        <w:sz w:val="22"/>
        <w:i w:val="false"/>
        <w:u w:val="none"/>
        <w:b w:val="false"/>
        <w:szCs w:val="22"/>
        <w:rFonts w:eastAsia="Calibri" w:cs="Calibri"/>
        <w:color w:val="000000"/>
      </w:rPr>
    </w:lvl>
    <w:lvl w:ilvl="2">
      <w:start w:val="1"/>
      <w:numFmt w:val="lowerRoman"/>
      <w:lvlText w:val="%2.%3"/>
      <w:lvlJc w:val="left"/>
      <w:pPr>
        <w:tabs>
          <w:tab w:val="num" w:pos="0"/>
        </w:tabs>
        <w:ind w:left="1800" w:hanging="0"/>
      </w:pPr>
      <w:rPr>
        <w:dstrike w:val="false"/>
        <w:strike w:val="false"/>
        <w:vertAlign w:val="baseline"/>
        <w:position w:val="0"/>
        <w:sz w:val="22"/>
        <w:sz w:val="22"/>
        <w:i w:val="false"/>
        <w:u w:val="none"/>
        <w:b w:val="false"/>
        <w:szCs w:val="22"/>
        <w:rFonts w:eastAsia="Calibri" w:cs="Calibri"/>
        <w:color w:val="000000"/>
      </w:rPr>
    </w:lvl>
    <w:lvl w:ilvl="3">
      <w:start w:val="1"/>
      <w:numFmt w:val="decimal"/>
      <w:lvlText w:val="%3.%4"/>
      <w:lvlJc w:val="left"/>
      <w:pPr>
        <w:tabs>
          <w:tab w:val="num" w:pos="0"/>
        </w:tabs>
        <w:ind w:left="2520" w:hanging="0"/>
      </w:pPr>
      <w:rPr>
        <w:dstrike w:val="false"/>
        <w:strike w:val="false"/>
        <w:vertAlign w:val="baseline"/>
        <w:position w:val="0"/>
        <w:sz w:val="22"/>
        <w:sz w:val="22"/>
        <w:i w:val="false"/>
        <w:u w:val="none"/>
        <w:b w:val="false"/>
        <w:szCs w:val="22"/>
        <w:rFonts w:eastAsia="Calibri" w:cs="Calibri"/>
        <w:color w:val="000000"/>
      </w:rPr>
    </w:lvl>
    <w:lvl w:ilvl="4">
      <w:start w:val="1"/>
      <w:numFmt w:val="lowerLetter"/>
      <w:lvlText w:val="%4.%5"/>
      <w:lvlJc w:val="left"/>
      <w:pPr>
        <w:tabs>
          <w:tab w:val="num" w:pos="0"/>
        </w:tabs>
        <w:ind w:left="3240" w:hanging="0"/>
      </w:pPr>
      <w:rPr>
        <w:dstrike w:val="false"/>
        <w:strike w:val="false"/>
        <w:vertAlign w:val="baseline"/>
        <w:position w:val="0"/>
        <w:sz w:val="22"/>
        <w:sz w:val="22"/>
        <w:i w:val="false"/>
        <w:u w:val="none"/>
        <w:b w:val="false"/>
        <w:szCs w:val="22"/>
        <w:rFonts w:eastAsia="Calibri" w:cs="Calibri"/>
        <w:color w:val="000000"/>
      </w:rPr>
    </w:lvl>
    <w:lvl w:ilvl="5">
      <w:start w:val="1"/>
      <w:numFmt w:val="lowerRoman"/>
      <w:lvlText w:val="%5.%6"/>
      <w:lvlJc w:val="left"/>
      <w:pPr>
        <w:tabs>
          <w:tab w:val="num" w:pos="0"/>
        </w:tabs>
        <w:ind w:left="3960" w:hanging="0"/>
      </w:pPr>
      <w:rPr>
        <w:dstrike w:val="false"/>
        <w:strike w:val="false"/>
        <w:vertAlign w:val="baseline"/>
        <w:position w:val="0"/>
        <w:sz w:val="22"/>
        <w:sz w:val="22"/>
        <w:i w:val="false"/>
        <w:u w:val="none"/>
        <w:b w:val="false"/>
        <w:szCs w:val="22"/>
        <w:rFonts w:eastAsia="Calibri" w:cs="Calibri"/>
        <w:color w:val="000000"/>
      </w:rPr>
    </w:lvl>
    <w:lvl w:ilvl="6">
      <w:start w:val="1"/>
      <w:numFmt w:val="decimal"/>
      <w:lvlText w:val="%6.%7"/>
      <w:lvlJc w:val="left"/>
      <w:pPr>
        <w:tabs>
          <w:tab w:val="num" w:pos="0"/>
        </w:tabs>
        <w:ind w:left="4680" w:hanging="0"/>
      </w:pPr>
      <w:rPr>
        <w:dstrike w:val="false"/>
        <w:strike w:val="false"/>
        <w:vertAlign w:val="baseline"/>
        <w:position w:val="0"/>
        <w:sz w:val="22"/>
        <w:sz w:val="22"/>
        <w:i w:val="false"/>
        <w:u w:val="none"/>
        <w:b w:val="false"/>
        <w:szCs w:val="22"/>
        <w:rFonts w:eastAsia="Calibri" w:cs="Calibri"/>
        <w:color w:val="000000"/>
      </w:rPr>
    </w:lvl>
    <w:lvl w:ilvl="7">
      <w:start w:val="1"/>
      <w:numFmt w:val="lowerLetter"/>
      <w:lvlText w:val="%7.%8"/>
      <w:lvlJc w:val="left"/>
      <w:pPr>
        <w:tabs>
          <w:tab w:val="num" w:pos="0"/>
        </w:tabs>
        <w:ind w:left="5400" w:hanging="0"/>
      </w:pPr>
      <w:rPr>
        <w:dstrike w:val="false"/>
        <w:strike w:val="false"/>
        <w:vertAlign w:val="baseline"/>
        <w:position w:val="0"/>
        <w:sz w:val="22"/>
        <w:sz w:val="22"/>
        <w:i w:val="false"/>
        <w:u w:val="none"/>
        <w:b w:val="false"/>
        <w:szCs w:val="22"/>
        <w:rFonts w:eastAsia="Calibri" w:cs="Calibri"/>
        <w:color w:val="000000"/>
      </w:rPr>
    </w:lvl>
    <w:lvl w:ilvl="8">
      <w:start w:val="1"/>
      <w:numFmt w:val="lowerRoman"/>
      <w:lvlText w:val="%8.%9"/>
      <w:lvlJc w:val="left"/>
      <w:pPr>
        <w:tabs>
          <w:tab w:val="num" w:pos="0"/>
        </w:tabs>
        <w:ind w:left="6120" w:hanging="0"/>
      </w:pPr>
      <w:rPr>
        <w:dstrike w:val="false"/>
        <w:strike w:val="false"/>
        <w:vertAlign w:val="baseline"/>
        <w:position w:val="0"/>
        <w:sz w:val="22"/>
        <w:sz w:val="22"/>
        <w:i w:val="false"/>
        <w:u w:val="none"/>
        <w:b w:val="false"/>
        <w:szCs w:val="22"/>
        <w:rFonts w:eastAsia="Calibri" w:cs="Calibri"/>
        <w:color w:val="000000"/>
      </w:rPr>
    </w:lvl>
  </w:abstractNum>
  <w:abstractNum w:abstractNumId="10">
    <w:lvl w:ilvl="0">
      <w:start w:val="1"/>
      <w:numFmt w:val="bullet"/>
      <w:lvlText w:val=""/>
      <w:lvlJc w:val="left"/>
      <w:pPr>
        <w:tabs>
          <w:tab w:val="num" w:pos="730"/>
        </w:tabs>
        <w:ind w:left="730" w:hanging="360"/>
      </w:pPr>
      <w:rPr>
        <w:rFonts w:ascii="Symbol" w:hAnsi="Symbol" w:cs="Symbol" w:hint="default"/>
      </w:rPr>
    </w:lvl>
    <w:lvl w:ilvl="1">
      <w:start w:val="1"/>
      <w:numFmt w:val="bullet"/>
      <w:lvlText w:val="◦"/>
      <w:lvlJc w:val="left"/>
      <w:pPr>
        <w:tabs>
          <w:tab w:val="num" w:pos="1090"/>
        </w:tabs>
        <w:ind w:left="1090" w:hanging="360"/>
      </w:pPr>
      <w:rPr>
        <w:rFonts w:ascii="OpenSymbol" w:hAnsi="OpenSymbol" w:cs="OpenSymbol" w:hint="default"/>
      </w:rPr>
    </w:lvl>
    <w:lvl w:ilvl="2">
      <w:start w:val="1"/>
      <w:numFmt w:val="bullet"/>
      <w:lvlText w:val="▪"/>
      <w:lvlJc w:val="left"/>
      <w:pPr>
        <w:tabs>
          <w:tab w:val="num" w:pos="1450"/>
        </w:tabs>
        <w:ind w:left="1450" w:hanging="360"/>
      </w:pPr>
      <w:rPr>
        <w:rFonts w:ascii="OpenSymbol" w:hAnsi="OpenSymbol" w:cs="OpenSymbol" w:hint="default"/>
      </w:rPr>
    </w:lvl>
    <w:lvl w:ilvl="3">
      <w:start w:val="1"/>
      <w:numFmt w:val="bullet"/>
      <w:lvlText w:val=""/>
      <w:lvlJc w:val="left"/>
      <w:pPr>
        <w:tabs>
          <w:tab w:val="num" w:pos="1810"/>
        </w:tabs>
        <w:ind w:left="1810" w:hanging="360"/>
      </w:pPr>
      <w:rPr>
        <w:rFonts w:ascii="Symbol" w:hAnsi="Symbol" w:cs="Symbol" w:hint="default"/>
      </w:rPr>
    </w:lvl>
    <w:lvl w:ilvl="4">
      <w:start w:val="1"/>
      <w:numFmt w:val="bullet"/>
      <w:lvlText w:val="◦"/>
      <w:lvlJc w:val="left"/>
      <w:pPr>
        <w:tabs>
          <w:tab w:val="num" w:pos="2170"/>
        </w:tabs>
        <w:ind w:left="2170" w:hanging="360"/>
      </w:pPr>
      <w:rPr>
        <w:rFonts w:ascii="OpenSymbol" w:hAnsi="OpenSymbol" w:cs="OpenSymbol" w:hint="default"/>
      </w:rPr>
    </w:lvl>
    <w:lvl w:ilvl="5">
      <w:start w:val="1"/>
      <w:numFmt w:val="bullet"/>
      <w:lvlText w:val="▪"/>
      <w:lvlJc w:val="left"/>
      <w:pPr>
        <w:tabs>
          <w:tab w:val="num" w:pos="2530"/>
        </w:tabs>
        <w:ind w:left="2530" w:hanging="360"/>
      </w:pPr>
      <w:rPr>
        <w:rFonts w:ascii="OpenSymbol" w:hAnsi="OpenSymbol" w:cs="OpenSymbol" w:hint="default"/>
      </w:rPr>
    </w:lvl>
    <w:lvl w:ilvl="6">
      <w:start w:val="1"/>
      <w:numFmt w:val="bullet"/>
      <w:lvlText w:val=""/>
      <w:lvlJc w:val="left"/>
      <w:pPr>
        <w:tabs>
          <w:tab w:val="num" w:pos="2890"/>
        </w:tabs>
        <w:ind w:left="2890" w:hanging="360"/>
      </w:pPr>
      <w:rPr>
        <w:rFonts w:ascii="Symbol" w:hAnsi="Symbol" w:cs="Symbol" w:hint="default"/>
      </w:rPr>
    </w:lvl>
    <w:lvl w:ilvl="7">
      <w:start w:val="1"/>
      <w:numFmt w:val="bullet"/>
      <w:lvlText w:val="◦"/>
      <w:lvlJc w:val="left"/>
      <w:pPr>
        <w:tabs>
          <w:tab w:val="num" w:pos="3250"/>
        </w:tabs>
        <w:ind w:left="3250" w:hanging="360"/>
      </w:pPr>
      <w:rPr>
        <w:rFonts w:ascii="OpenSymbol" w:hAnsi="OpenSymbol" w:cs="OpenSymbol" w:hint="default"/>
      </w:rPr>
    </w:lvl>
    <w:lvl w:ilvl="8">
      <w:start w:val="1"/>
      <w:numFmt w:val="bullet"/>
      <w:lvlText w:val="▪"/>
      <w:lvlJc w:val="left"/>
      <w:pPr>
        <w:tabs>
          <w:tab w:val="num" w:pos="3610"/>
        </w:tabs>
        <w:ind w:left="361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05"/>
        </w:tabs>
        <w:ind w:left="705" w:hanging="360"/>
      </w:pPr>
      <w:rPr>
        <w:rFonts w:ascii="Symbol" w:hAnsi="Symbol" w:cs="Symbol" w:hint="default"/>
      </w:rPr>
    </w:lvl>
    <w:lvl w:ilvl="1">
      <w:start w:val="1"/>
      <w:numFmt w:val="bullet"/>
      <w:lvlText w:val="◦"/>
      <w:lvlJc w:val="left"/>
      <w:pPr>
        <w:tabs>
          <w:tab w:val="num" w:pos="1065"/>
        </w:tabs>
        <w:ind w:left="1065" w:hanging="360"/>
      </w:pPr>
      <w:rPr>
        <w:rFonts w:ascii="OpenSymbol" w:hAnsi="OpenSymbol" w:cs="OpenSymbol" w:hint="default"/>
      </w:rPr>
    </w:lvl>
    <w:lvl w:ilvl="2">
      <w:start w:val="1"/>
      <w:numFmt w:val="bullet"/>
      <w:lvlText w:val="▪"/>
      <w:lvlJc w:val="left"/>
      <w:pPr>
        <w:tabs>
          <w:tab w:val="num" w:pos="1425"/>
        </w:tabs>
        <w:ind w:left="1425" w:hanging="360"/>
      </w:pPr>
      <w:rPr>
        <w:rFonts w:ascii="OpenSymbol" w:hAnsi="OpenSymbol" w:cs="OpenSymbol" w:hint="default"/>
      </w:rPr>
    </w:lvl>
    <w:lvl w:ilvl="3">
      <w:start w:val="1"/>
      <w:numFmt w:val="bullet"/>
      <w:lvlText w:val=""/>
      <w:lvlJc w:val="left"/>
      <w:pPr>
        <w:tabs>
          <w:tab w:val="num" w:pos="1785"/>
        </w:tabs>
        <w:ind w:left="1785" w:hanging="360"/>
      </w:pPr>
      <w:rPr>
        <w:rFonts w:ascii="Symbol" w:hAnsi="Symbol" w:cs="Symbol" w:hint="default"/>
      </w:rPr>
    </w:lvl>
    <w:lvl w:ilvl="4">
      <w:start w:val="1"/>
      <w:numFmt w:val="bullet"/>
      <w:lvlText w:val="◦"/>
      <w:lvlJc w:val="left"/>
      <w:pPr>
        <w:tabs>
          <w:tab w:val="num" w:pos="2145"/>
        </w:tabs>
        <w:ind w:left="2145" w:hanging="360"/>
      </w:pPr>
      <w:rPr>
        <w:rFonts w:ascii="OpenSymbol" w:hAnsi="OpenSymbol" w:cs="OpenSymbol" w:hint="default"/>
      </w:rPr>
    </w:lvl>
    <w:lvl w:ilvl="5">
      <w:start w:val="1"/>
      <w:numFmt w:val="bullet"/>
      <w:lvlText w:val="▪"/>
      <w:lvlJc w:val="left"/>
      <w:pPr>
        <w:tabs>
          <w:tab w:val="num" w:pos="2505"/>
        </w:tabs>
        <w:ind w:left="2505" w:hanging="360"/>
      </w:pPr>
      <w:rPr>
        <w:rFonts w:ascii="OpenSymbol" w:hAnsi="OpenSymbol" w:cs="OpenSymbol" w:hint="default"/>
      </w:rPr>
    </w:lvl>
    <w:lvl w:ilvl="6">
      <w:start w:val="1"/>
      <w:numFmt w:val="bullet"/>
      <w:lvlText w:val=""/>
      <w:lvlJc w:val="left"/>
      <w:pPr>
        <w:tabs>
          <w:tab w:val="num" w:pos="2865"/>
        </w:tabs>
        <w:ind w:left="2865" w:hanging="360"/>
      </w:pPr>
      <w:rPr>
        <w:rFonts w:ascii="Symbol" w:hAnsi="Symbol" w:cs="Symbol" w:hint="default"/>
      </w:rPr>
    </w:lvl>
    <w:lvl w:ilvl="7">
      <w:start w:val="1"/>
      <w:numFmt w:val="bullet"/>
      <w:lvlText w:val="◦"/>
      <w:lvlJc w:val="left"/>
      <w:pPr>
        <w:tabs>
          <w:tab w:val="num" w:pos="3225"/>
        </w:tabs>
        <w:ind w:left="3225" w:hanging="360"/>
      </w:pPr>
      <w:rPr>
        <w:rFonts w:ascii="OpenSymbol" w:hAnsi="OpenSymbol" w:cs="OpenSymbol" w:hint="default"/>
      </w:rPr>
    </w:lvl>
    <w:lvl w:ilvl="8">
      <w:start w:val="1"/>
      <w:numFmt w:val="bullet"/>
      <w:lvlText w:val="▪"/>
      <w:lvlJc w:val="left"/>
      <w:pPr>
        <w:tabs>
          <w:tab w:val="num" w:pos="3585"/>
        </w:tabs>
        <w:ind w:left="3585" w:hanging="360"/>
      </w:pPr>
      <w:rPr>
        <w:rFonts w:ascii="OpenSymbol" w:hAnsi="OpenSymbol" w:cs="OpenSymbol" w:hint="default"/>
      </w:rPr>
    </w:lvl>
  </w:abstractNum>
  <w:abstractNum w:abstractNumId="13">
    <w:lvl w:ilvl="0">
      <w:start w:val="1"/>
      <w:numFmt w:val="decimal"/>
      <w:lvlText w:val="%1."/>
      <w:lvlJc w:val="left"/>
      <w:pPr>
        <w:tabs>
          <w:tab w:val="num" w:pos="705"/>
        </w:tabs>
        <w:ind w:left="705" w:hanging="360"/>
      </w:pPr>
      <w:rPr/>
    </w:lvl>
    <w:lvl w:ilvl="1">
      <w:start w:val="1"/>
      <w:numFmt w:val="decimal"/>
      <w:lvlText w:val="%2."/>
      <w:lvlJc w:val="left"/>
      <w:pPr>
        <w:tabs>
          <w:tab w:val="num" w:pos="1065"/>
        </w:tabs>
        <w:ind w:left="1065" w:hanging="360"/>
      </w:pPr>
      <w:rPr/>
    </w:lvl>
    <w:lvl w:ilvl="2">
      <w:start w:val="1"/>
      <w:numFmt w:val="decimal"/>
      <w:lvlText w:val="%3."/>
      <w:lvlJc w:val="left"/>
      <w:pPr>
        <w:tabs>
          <w:tab w:val="num" w:pos="1425"/>
        </w:tabs>
        <w:ind w:left="1425" w:hanging="360"/>
      </w:pPr>
      <w:rPr/>
    </w:lvl>
    <w:lvl w:ilvl="3">
      <w:start w:val="1"/>
      <w:numFmt w:val="decimal"/>
      <w:lvlText w:val="%4."/>
      <w:lvlJc w:val="left"/>
      <w:pPr>
        <w:tabs>
          <w:tab w:val="num" w:pos="1785"/>
        </w:tabs>
        <w:ind w:left="1785" w:hanging="360"/>
      </w:pPr>
      <w:rPr/>
    </w:lvl>
    <w:lvl w:ilvl="4">
      <w:start w:val="1"/>
      <w:numFmt w:val="decimal"/>
      <w:lvlText w:val="%5."/>
      <w:lvlJc w:val="left"/>
      <w:pPr>
        <w:tabs>
          <w:tab w:val="num" w:pos="2145"/>
        </w:tabs>
        <w:ind w:left="2145" w:hanging="360"/>
      </w:pPr>
      <w:rPr/>
    </w:lvl>
    <w:lvl w:ilvl="5">
      <w:start w:val="1"/>
      <w:numFmt w:val="decimal"/>
      <w:lvlText w:val="%6."/>
      <w:lvlJc w:val="left"/>
      <w:pPr>
        <w:tabs>
          <w:tab w:val="num" w:pos="2505"/>
        </w:tabs>
        <w:ind w:left="2505" w:hanging="360"/>
      </w:pPr>
      <w:rPr/>
    </w:lvl>
    <w:lvl w:ilvl="6">
      <w:start w:val="1"/>
      <w:numFmt w:val="decimal"/>
      <w:lvlText w:val="%7."/>
      <w:lvlJc w:val="left"/>
      <w:pPr>
        <w:tabs>
          <w:tab w:val="num" w:pos="2865"/>
        </w:tabs>
        <w:ind w:left="2865" w:hanging="360"/>
      </w:pPr>
      <w:rPr/>
    </w:lvl>
    <w:lvl w:ilvl="7">
      <w:start w:val="1"/>
      <w:numFmt w:val="decimal"/>
      <w:lvlText w:val="%8."/>
      <w:lvlJc w:val="left"/>
      <w:pPr>
        <w:tabs>
          <w:tab w:val="num" w:pos="3225"/>
        </w:tabs>
        <w:ind w:left="3225" w:hanging="360"/>
      </w:pPr>
      <w:rPr/>
    </w:lvl>
    <w:lvl w:ilvl="8">
      <w:start w:val="1"/>
      <w:numFmt w:val="decimal"/>
      <w:lvlText w:val="%9."/>
      <w:lvlJc w:val="left"/>
      <w:pPr>
        <w:tabs>
          <w:tab w:val="num" w:pos="3585"/>
        </w:tabs>
        <w:ind w:left="3585" w:hanging="360"/>
      </w:pPr>
      <w:rPr/>
    </w:lvl>
  </w:abstractNum>
  <w:abstractNum w:abstractNumId="1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Cs w:val="22"/>
        <w:lang w:val="hr-HR" w:eastAsia="hr-HR"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7" w:before="0" w:after="23"/>
      <w:ind w:hanging="10" w:left="10" w:right="0"/>
      <w:jc w:val="both"/>
    </w:pPr>
    <w:rPr>
      <w:rFonts w:ascii="Calibri" w:hAnsi="Calibri" w:eastAsia="Calibri" w:cs="Calibri"/>
      <w:color w:val="000000"/>
      <w:kern w:val="0"/>
      <w:sz w:val="22"/>
      <w:szCs w:val="22"/>
      <w:lang w:val="hr-HR" w:eastAsia="hr-HR" w:bidi="ar-SA"/>
    </w:rPr>
  </w:style>
  <w:style w:type="paragraph" w:styleId="Heading1">
    <w:name w:val="Heading 1"/>
    <w:next w:val="Normal"/>
    <w:qFormat/>
    <w:pPr>
      <w:keepNext w:val="true"/>
      <w:keepLines/>
      <w:widowControl/>
      <w:suppressAutoHyphens w:val="true"/>
      <w:overflowPunct w:val="false"/>
      <w:bidi w:val="0"/>
      <w:spacing w:lineRule="auto" w:line="259" w:before="0" w:after="0"/>
      <w:ind w:hanging="0" w:left="0" w:right="5"/>
      <w:jc w:val="center"/>
      <w:outlineLvl w:val="0"/>
    </w:pPr>
    <w:rPr>
      <w:rFonts w:ascii="Calibri" w:hAnsi="Calibri" w:eastAsia="Calibri" w:cs="Calibri"/>
      <w:b/>
      <w:color w:val="000000"/>
      <w:kern w:val="0"/>
      <w:sz w:val="36"/>
      <w:szCs w:val="22"/>
      <w:lang w:val="hr-HR" w:eastAsia="hr-HR" w:bidi="ar-SA"/>
    </w:rPr>
  </w:style>
  <w:style w:type="paragraph" w:styleId="Heading2">
    <w:name w:val="Heading 2"/>
    <w:next w:val="Normal"/>
    <w:qFormat/>
    <w:pPr>
      <w:keepNext w:val="true"/>
      <w:keepLines/>
      <w:widowControl/>
      <w:suppressAutoHyphens w:val="true"/>
      <w:overflowPunct w:val="false"/>
      <w:bidi w:val="0"/>
      <w:spacing w:lineRule="auto" w:line="247" w:before="0" w:after="228"/>
      <w:ind w:hanging="10" w:left="10" w:right="0"/>
      <w:jc w:val="left"/>
      <w:outlineLvl w:val="1"/>
    </w:pPr>
    <w:rPr>
      <w:rFonts w:ascii="Calibri" w:hAnsi="Calibri" w:eastAsia="Calibri" w:cs="Calibri"/>
      <w:b/>
      <w:color w:val="000000"/>
      <w:kern w:val="0"/>
      <w:sz w:val="22"/>
      <w:szCs w:val="22"/>
      <w:u w:val="single" w:color="000000"/>
      <w:lang w:val="hr-HR" w:eastAsia="hr-HR" w:bidi="ar-SA"/>
    </w:rPr>
  </w:style>
  <w:style w:type="character" w:styleId="DefaultParagraphFont">
    <w:name w:val="Default Paragraph Font"/>
    <w:qFormat/>
    <w:rPr/>
  </w:style>
  <w:style w:type="character" w:styleId="Naslov2Char">
    <w:name w:val="Naslov 2 Char"/>
    <w:qFormat/>
    <w:rPr>
      <w:rFonts w:ascii="Calibri" w:hAnsi="Calibri" w:eastAsia="Calibri" w:cs="Calibri"/>
      <w:b/>
      <w:color w:val="000000"/>
      <w:sz w:val="22"/>
      <w:u w:val="single" w:color="000000"/>
    </w:rPr>
  </w:style>
  <w:style w:type="character" w:styleId="Naslov1Char">
    <w:name w:val="Naslov 1 Char"/>
    <w:qFormat/>
    <w:rPr>
      <w:rFonts w:ascii="Calibri" w:hAnsi="Calibri" w:eastAsia="Calibri" w:cs="Calibri"/>
      <w:b/>
      <w:color w:val="000000"/>
      <w:sz w:val="36"/>
    </w:rPr>
  </w:style>
  <w:style w:type="character" w:styleId="Simbolinumeriranja">
    <w:name w:val="Simboli numeriranja"/>
    <w:qFormat/>
    <w:rPr/>
  </w:style>
  <w:style w:type="character" w:styleId="Bullets">
    <w:name w:val="Bullets"/>
    <w:qFormat/>
    <w:rPr>
      <w:rFonts w:ascii="OpenSymbol" w:hAnsi="OpenSymbol" w:eastAsia="OpenSymbol" w:cs="OpenSymbol"/>
    </w:rPr>
  </w:style>
  <w:style w:type="character" w:styleId="Hyperlink">
    <w:name w:val="Hyperlink"/>
    <w:rPr>
      <w:color w:val="000080"/>
      <w:u w:val="single"/>
    </w:rPr>
  </w:style>
  <w:style w:type="paragraph" w:styleId="Stilnaslova">
    <w:name w:val="Stil naslova"/>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ListParagraph">
    <w:name w:val="List Paragraph"/>
    <w:basedOn w:val="Normal"/>
    <w:qFormat/>
    <w:pPr>
      <w:spacing w:before="0" w:after="23"/>
      <w:ind w:hanging="10" w:left="720" w:right="0"/>
      <w:contextualSpacing/>
    </w:pPr>
    <w:rPr/>
  </w:style>
  <w:style w:type="paragraph" w:styleId="Default">
    <w:name w:val="Default"/>
    <w:qFormat/>
    <w:pPr>
      <w:widowControl/>
      <w:suppressAutoHyphens w:val="true"/>
      <w:overflowPunct w:val="false"/>
      <w:bidi w:val="0"/>
      <w:spacing w:lineRule="auto" w:line="240" w:before="0" w:after="0"/>
      <w:jc w:val="left"/>
    </w:pPr>
    <w:rPr>
      <w:rFonts w:ascii="Times New Roman" w:hAnsi="Times New Roman" w:eastAsia="Calibri" w:cs="Times New Roman"/>
      <w:color w:val="000000"/>
      <w:kern w:val="0"/>
      <w:sz w:val="24"/>
      <w:szCs w:val="24"/>
      <w:lang w:val="hr-HR" w:eastAsia="en-US" w:bidi="ar-SA"/>
    </w:rPr>
  </w:style>
  <w:style w:type="paragraph" w:styleId="NoSpacing">
    <w:name w:val="No Spacing"/>
    <w:qFormat/>
    <w:pPr>
      <w:widowControl/>
      <w:suppressAutoHyphens w:val="true"/>
      <w:overflowPunct w:val="false"/>
      <w:bidi w:val="0"/>
      <w:spacing w:lineRule="auto" w:line="240" w:before="0" w:after="0"/>
      <w:ind w:hanging="10" w:left="10" w:right="0"/>
      <w:jc w:val="both"/>
    </w:pPr>
    <w:rPr>
      <w:rFonts w:ascii="Calibri" w:hAnsi="Calibri" w:eastAsia="Calibri" w:cs="Calibri"/>
      <w:color w:val="000000"/>
      <w:kern w:val="0"/>
      <w:sz w:val="22"/>
      <w:szCs w:val="22"/>
      <w:lang w:val="hr-HR" w:eastAsia="hr-HR" w:bidi="ar-SA"/>
    </w:rPr>
  </w:style>
  <w:style w:type="paragraph" w:styleId="Sadrajitablice">
    <w:name w:val="Sadržaji tablice"/>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doroslov.hr/" TargetMode="External"/><Relationship Id="rId4" Type="http://schemas.openxmlformats.org/officeDocument/2006/relationships/hyperlink" Targe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1492</TotalTime>
  <Application>LibreOffice/24.2.5.2$Windows_X86_64 LibreOffice_project/bffef4ea93e59bebbeaf7f431bb02b1a39ee8a59</Application>
  <AppVersion>15.0000</AppVersion>
  <Pages>21</Pages>
  <Words>8138</Words>
  <Characters>48961</Characters>
  <CharactersWithSpaces>56927</CharactersWithSpaces>
  <Paragraphs>372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2021-12-07T13:33:00Z</dcterms:created>
  <dc:creator>Gordana</dc:creator>
  <dc:description/>
  <dc:language>hr-HR</dc:language>
  <cp:lastModifiedBy/>
  <cp:lastPrinted>2022-03-11T11:46:48Z</cp:lastPrinted>
  <dcterms:modified xsi:type="dcterms:W3CDTF">2025-01-21T14:47:15Z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